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05171">
      <w:pPr>
        <w:spacing w:line="560" w:lineRule="exact"/>
        <w:ind w:firstLine="0" w:firstLineChars="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附件：</w:t>
      </w:r>
    </w:p>
    <w:p w14:paraId="0D71795C">
      <w:pPr>
        <w:spacing w:line="560" w:lineRule="exact"/>
        <w:ind w:firstLine="0" w:firstLineChars="0"/>
        <w:jc w:val="center"/>
        <w:rPr>
          <w:rFonts w:hint="eastAsia" w:ascii="方正小标宋简体" w:hAnsi="华文中宋" w:eastAsia="方正小标宋简体"/>
          <w:color w:val="000000"/>
          <w:sz w:val="44"/>
          <w:szCs w:val="44"/>
        </w:rPr>
      </w:pPr>
    </w:p>
    <w:p w14:paraId="041884C1">
      <w:pPr>
        <w:spacing w:line="560" w:lineRule="exact"/>
        <w:ind w:firstLine="0" w:firstLineChars="0"/>
        <w:jc w:val="center"/>
        <w:rPr>
          <w:rFonts w:hint="eastAsia" w:ascii="方正小标宋_GBK" w:hAnsi="方正小标宋_GBK" w:eastAsia="方正小标宋_GBK" w:cs="方正小标宋_GBK"/>
          <w:color w:val="000000"/>
          <w:sz w:val="44"/>
          <w:szCs w:val="44"/>
          <w:lang w:val="en-US" w:eastAsia="zh-CN"/>
        </w:rPr>
      </w:pPr>
      <w:r>
        <w:rPr>
          <w:rFonts w:hint="eastAsia" w:ascii="方正小标宋_GBK" w:hAnsi="方正小标宋_GBK" w:eastAsia="方正小标宋_GBK" w:cs="方正小标宋_GBK"/>
          <w:color w:val="000000"/>
          <w:sz w:val="44"/>
          <w:szCs w:val="44"/>
          <w:lang w:val="en-US" w:eastAsia="zh-CN"/>
        </w:rPr>
        <w:t>巴音郭楞蒙古自治州国有建设用地使用权</w:t>
      </w:r>
      <w:r>
        <w:rPr>
          <w:rFonts w:hint="eastAsia" w:ascii="方正小标宋_GBK" w:hAnsi="方正小标宋_GBK" w:eastAsia="方正小标宋_GBK" w:cs="方正小标宋_GBK"/>
          <w:color w:val="000000"/>
          <w:sz w:val="44"/>
          <w:szCs w:val="44"/>
          <w:lang w:eastAsia="zh-CN"/>
        </w:rPr>
        <w:t>挂牌出让</w:t>
      </w:r>
      <w:r>
        <w:rPr>
          <w:rFonts w:hint="eastAsia" w:ascii="方正小标宋_GBK" w:hAnsi="方正小标宋_GBK" w:eastAsia="方正小标宋_GBK" w:cs="方正小标宋_GBK"/>
          <w:color w:val="000000"/>
          <w:sz w:val="44"/>
          <w:szCs w:val="44"/>
          <w:lang w:val="en-US" w:eastAsia="zh-CN"/>
        </w:rPr>
        <w:t>文件</w:t>
      </w:r>
    </w:p>
    <w:p w14:paraId="35D176F2">
      <w:pPr>
        <w:spacing w:line="560" w:lineRule="exact"/>
        <w:ind w:firstLine="0" w:firstLineChars="0"/>
        <w:jc w:val="center"/>
        <w:rPr>
          <w:rFonts w:hint="eastAsia" w:ascii="方正小标宋简体" w:hAnsi="华文中宋" w:eastAsia="方正小标宋简体"/>
          <w:color w:val="000000"/>
          <w:sz w:val="44"/>
          <w:szCs w:val="44"/>
        </w:rPr>
      </w:pPr>
    </w:p>
    <w:p w14:paraId="5AC7CAD8">
      <w:pPr>
        <w:spacing w:line="560" w:lineRule="exact"/>
        <w:ind w:firstLine="0" w:firstLineChars="0"/>
        <w:jc w:val="center"/>
        <w:rPr>
          <w:rFonts w:hint="eastAsia" w:ascii="方正小标宋简体" w:hAnsi="华文中宋" w:eastAsia="方正小标宋简体"/>
          <w:color w:val="000000"/>
          <w:sz w:val="44"/>
          <w:szCs w:val="44"/>
        </w:rPr>
      </w:pPr>
    </w:p>
    <w:p w14:paraId="1BD556D8">
      <w:pPr>
        <w:spacing w:line="560" w:lineRule="exact"/>
        <w:ind w:firstLine="0" w:firstLineChars="0"/>
        <w:jc w:val="center"/>
        <w:rPr>
          <w:rFonts w:hint="eastAsia" w:ascii="方正小标宋简体" w:hAnsi="华文中宋" w:eastAsia="方正小标宋简体"/>
          <w:color w:val="000000"/>
          <w:sz w:val="44"/>
          <w:szCs w:val="44"/>
        </w:rPr>
      </w:pPr>
    </w:p>
    <w:p w14:paraId="7B76C7DF">
      <w:pPr>
        <w:spacing w:line="560" w:lineRule="exact"/>
        <w:ind w:firstLine="0" w:firstLineChars="0"/>
        <w:jc w:val="center"/>
        <w:rPr>
          <w:rFonts w:hint="eastAsia" w:ascii="方正小标宋简体" w:hAnsi="华文中宋" w:eastAsia="方正小标宋简体"/>
          <w:color w:val="000000"/>
          <w:sz w:val="44"/>
          <w:szCs w:val="44"/>
        </w:rPr>
      </w:pPr>
    </w:p>
    <w:p w14:paraId="2354678D">
      <w:pPr>
        <w:spacing w:line="560" w:lineRule="exact"/>
        <w:ind w:firstLine="0" w:firstLineChars="0"/>
        <w:jc w:val="center"/>
        <w:rPr>
          <w:rFonts w:hint="eastAsia" w:ascii="方正小标宋简体" w:hAnsi="华文中宋" w:eastAsia="方正小标宋简体"/>
          <w:color w:val="000000"/>
          <w:sz w:val="44"/>
          <w:szCs w:val="44"/>
        </w:rPr>
      </w:pPr>
    </w:p>
    <w:p w14:paraId="4704DBED">
      <w:pPr>
        <w:spacing w:line="560" w:lineRule="exact"/>
        <w:ind w:firstLine="0" w:firstLineChars="0"/>
        <w:jc w:val="center"/>
        <w:rPr>
          <w:rFonts w:hint="eastAsia" w:ascii="方正小标宋简体" w:hAnsi="华文中宋" w:eastAsia="方正小标宋简体"/>
          <w:color w:val="000000"/>
          <w:sz w:val="44"/>
          <w:szCs w:val="44"/>
        </w:rPr>
      </w:pPr>
    </w:p>
    <w:p w14:paraId="3E6B5121">
      <w:pPr>
        <w:spacing w:line="560" w:lineRule="exact"/>
        <w:ind w:firstLine="0" w:firstLineChars="0"/>
        <w:jc w:val="center"/>
        <w:rPr>
          <w:rFonts w:hint="eastAsia" w:ascii="方正小标宋简体" w:hAnsi="华文中宋" w:eastAsia="方正小标宋简体"/>
          <w:color w:val="000000"/>
          <w:sz w:val="44"/>
          <w:szCs w:val="44"/>
        </w:rPr>
      </w:pPr>
    </w:p>
    <w:p w14:paraId="604AE15E">
      <w:pPr>
        <w:spacing w:line="560" w:lineRule="exact"/>
        <w:ind w:firstLine="0" w:firstLineChars="0"/>
        <w:jc w:val="center"/>
        <w:rPr>
          <w:rFonts w:hint="eastAsia" w:ascii="方正小标宋简体" w:hAnsi="华文中宋" w:eastAsia="方正小标宋简体"/>
          <w:color w:val="000000"/>
          <w:sz w:val="44"/>
          <w:szCs w:val="44"/>
        </w:rPr>
      </w:pPr>
    </w:p>
    <w:p w14:paraId="5A69A0E5">
      <w:pPr>
        <w:spacing w:line="560" w:lineRule="exact"/>
        <w:ind w:firstLine="0" w:firstLineChars="0"/>
        <w:jc w:val="center"/>
        <w:rPr>
          <w:rFonts w:hint="eastAsia" w:ascii="方正小标宋简体" w:hAnsi="华文中宋" w:eastAsia="方正小标宋简体"/>
          <w:color w:val="000000"/>
          <w:sz w:val="44"/>
          <w:szCs w:val="44"/>
        </w:rPr>
      </w:pPr>
    </w:p>
    <w:p w14:paraId="38B4C2EE">
      <w:pPr>
        <w:spacing w:line="560" w:lineRule="exact"/>
        <w:ind w:firstLine="0" w:firstLineChars="0"/>
        <w:jc w:val="center"/>
        <w:rPr>
          <w:rFonts w:hint="eastAsia" w:ascii="方正小标宋简体" w:hAnsi="华文中宋" w:eastAsia="方正小标宋简体"/>
          <w:color w:val="000000"/>
          <w:sz w:val="44"/>
          <w:szCs w:val="44"/>
        </w:rPr>
      </w:pPr>
    </w:p>
    <w:p w14:paraId="77CD4BE8">
      <w:pPr>
        <w:spacing w:line="560" w:lineRule="exact"/>
        <w:ind w:firstLine="0" w:firstLineChars="0"/>
        <w:jc w:val="center"/>
        <w:rPr>
          <w:rFonts w:hint="eastAsia" w:ascii="方正小标宋简体" w:hAnsi="华文中宋" w:eastAsia="方正小标宋简体"/>
          <w:color w:val="000000"/>
          <w:sz w:val="44"/>
          <w:szCs w:val="44"/>
        </w:rPr>
      </w:pPr>
    </w:p>
    <w:p w14:paraId="77E8297C">
      <w:pPr>
        <w:spacing w:line="560" w:lineRule="exact"/>
        <w:ind w:firstLine="0" w:firstLineChars="0"/>
        <w:jc w:val="center"/>
        <w:rPr>
          <w:rFonts w:hint="eastAsia" w:ascii="方正小标宋简体" w:hAnsi="华文中宋" w:eastAsia="方正小标宋简体"/>
          <w:color w:val="000000"/>
          <w:sz w:val="44"/>
          <w:szCs w:val="44"/>
        </w:rPr>
      </w:pPr>
    </w:p>
    <w:p w14:paraId="02BF31D1">
      <w:pPr>
        <w:spacing w:line="560" w:lineRule="exact"/>
        <w:ind w:firstLine="0" w:firstLineChars="0"/>
        <w:jc w:val="center"/>
        <w:rPr>
          <w:rFonts w:hint="eastAsia" w:ascii="方正小标宋简体" w:hAnsi="华文中宋" w:eastAsia="方正小标宋简体"/>
          <w:color w:val="000000"/>
          <w:sz w:val="44"/>
          <w:szCs w:val="44"/>
        </w:rPr>
      </w:pPr>
    </w:p>
    <w:p w14:paraId="223A03A2">
      <w:pPr>
        <w:spacing w:line="560" w:lineRule="exact"/>
        <w:ind w:firstLine="0" w:firstLineChars="0"/>
        <w:jc w:val="center"/>
        <w:rPr>
          <w:rFonts w:hint="eastAsia" w:ascii="仿宋" w:hAnsi="仿宋" w:cs="仿宋"/>
          <w:color w:val="000000"/>
          <w:szCs w:val="32"/>
        </w:rPr>
      </w:pPr>
    </w:p>
    <w:p w14:paraId="2317B1A8">
      <w:pPr>
        <w:spacing w:line="560" w:lineRule="exact"/>
        <w:ind w:firstLine="0" w:firstLineChars="0"/>
        <w:jc w:val="center"/>
        <w:rPr>
          <w:rFonts w:hint="eastAsia" w:ascii="仿宋" w:hAnsi="仿宋" w:cs="仿宋"/>
          <w:color w:val="000000"/>
          <w:szCs w:val="32"/>
        </w:rPr>
      </w:pPr>
    </w:p>
    <w:p w14:paraId="2274C4DC">
      <w:pPr>
        <w:spacing w:line="560" w:lineRule="exact"/>
        <w:ind w:firstLine="0" w:firstLineChars="0"/>
        <w:jc w:val="center"/>
        <w:rPr>
          <w:rFonts w:hint="default" w:ascii="Times New Roman" w:hAnsi="Times New Roman" w:eastAsia="仿宋_GB2312" w:cs="Times New Roman"/>
          <w:color w:val="000000"/>
          <w:szCs w:val="32"/>
        </w:rPr>
      </w:pPr>
      <w:r>
        <w:rPr>
          <w:rFonts w:hint="eastAsia" w:ascii="Times New Roman" w:hAnsi="Times New Roman" w:eastAsia="仿宋_GB2312" w:cs="Times New Roman"/>
          <w:color w:val="000000"/>
          <w:szCs w:val="32"/>
          <w:lang w:val="en-US" w:eastAsia="zh-CN"/>
        </w:rPr>
        <w:t>巴音郭楞蒙古自治州</w:t>
      </w:r>
      <w:r>
        <w:rPr>
          <w:rFonts w:hint="default" w:ascii="Times New Roman" w:hAnsi="Times New Roman" w:eastAsia="仿宋_GB2312" w:cs="Times New Roman"/>
          <w:color w:val="000000"/>
          <w:szCs w:val="32"/>
        </w:rPr>
        <w:t>政务服和公共资源交易中心</w:t>
      </w:r>
    </w:p>
    <w:p w14:paraId="19077D96">
      <w:pPr>
        <w:spacing w:line="560" w:lineRule="exact"/>
        <w:ind w:firstLine="0" w:firstLineChars="0"/>
        <w:jc w:val="center"/>
        <w:rPr>
          <w:rFonts w:hint="eastAsia" w:ascii="仿宋" w:hAnsi="仿宋" w:cs="仿宋"/>
          <w:color w:val="000000"/>
          <w:szCs w:val="32"/>
        </w:rPr>
      </w:pPr>
      <w:r>
        <w:rPr>
          <w:rFonts w:hint="default" w:ascii="Times New Roman" w:hAnsi="Times New Roman" w:eastAsia="仿宋_GB2312" w:cs="Times New Roman"/>
          <w:color w:val="000000"/>
          <w:szCs w:val="32"/>
        </w:rPr>
        <w:t>202</w:t>
      </w:r>
      <w:r>
        <w:rPr>
          <w:rFonts w:hint="eastAsia" w:eastAsia="仿宋_GB2312" w:cs="Times New Roman"/>
          <w:color w:val="000000"/>
          <w:szCs w:val="32"/>
          <w:lang w:val="en-US" w:eastAsia="zh-CN"/>
        </w:rPr>
        <w:t>4</w:t>
      </w:r>
      <w:r>
        <w:rPr>
          <w:rFonts w:hint="default" w:ascii="Times New Roman" w:hAnsi="Times New Roman" w:eastAsia="仿宋_GB2312" w:cs="Times New Roman"/>
          <w:color w:val="000000"/>
          <w:szCs w:val="32"/>
        </w:rPr>
        <w:t>年</w:t>
      </w:r>
    </w:p>
    <w:p w14:paraId="69B1777E">
      <w:pPr>
        <w:spacing w:line="560" w:lineRule="exact"/>
        <w:ind w:firstLine="0" w:firstLineChars="0"/>
        <w:jc w:val="center"/>
        <w:rPr>
          <w:rFonts w:hint="eastAsia" w:ascii="仿宋" w:hAnsi="仿宋" w:cs="仿宋"/>
          <w:color w:val="000000"/>
          <w:szCs w:val="32"/>
        </w:rPr>
      </w:pPr>
    </w:p>
    <w:p w14:paraId="3362CBDB">
      <w:pPr>
        <w:spacing w:line="560" w:lineRule="exact"/>
        <w:ind w:firstLine="0" w:firstLineChars="0"/>
        <w:jc w:val="center"/>
        <w:rPr>
          <w:rFonts w:hint="eastAsia" w:ascii="仿宋" w:hAnsi="仿宋" w:cs="仿宋"/>
          <w:color w:val="000000"/>
          <w:szCs w:val="32"/>
        </w:rPr>
      </w:pPr>
    </w:p>
    <w:p w14:paraId="258439F1">
      <w:pPr>
        <w:spacing w:line="560" w:lineRule="exact"/>
        <w:ind w:firstLine="0" w:firstLineChars="0"/>
        <w:jc w:val="center"/>
        <w:rPr>
          <w:rFonts w:hint="eastAsia" w:ascii="方正仿宋简体" w:hAnsi="方正仿宋简体" w:eastAsia="方正仿宋简体" w:cs="方正仿宋简体"/>
          <w:color w:val="000000"/>
          <w:sz w:val="44"/>
          <w:szCs w:val="44"/>
        </w:rPr>
      </w:pPr>
    </w:p>
    <w:p w14:paraId="01B76FC4">
      <w:pPr>
        <w:spacing w:line="560" w:lineRule="exact"/>
        <w:ind w:firstLine="0" w:firstLineChars="0"/>
        <w:jc w:val="center"/>
        <w:rPr>
          <w:rFonts w:hint="eastAsia" w:ascii="方正仿宋简体" w:hAnsi="方正仿宋简体" w:eastAsia="方正仿宋简体" w:cs="方正仿宋简体"/>
          <w:color w:val="000000"/>
          <w:sz w:val="44"/>
          <w:szCs w:val="44"/>
        </w:rPr>
      </w:pPr>
      <w:r>
        <w:rPr>
          <w:rFonts w:hint="eastAsia" w:ascii="方正仿宋简体" w:hAnsi="方正仿宋简体" w:eastAsia="方正仿宋简体" w:cs="方正仿宋简体"/>
          <w:color w:val="000000"/>
          <w:sz w:val="44"/>
          <w:szCs w:val="44"/>
        </w:rPr>
        <w:t>目  录</w:t>
      </w:r>
    </w:p>
    <w:p w14:paraId="22F66533">
      <w:pPr>
        <w:spacing w:line="560" w:lineRule="exact"/>
        <w:ind w:firstLine="0" w:firstLineChars="0"/>
        <w:jc w:val="left"/>
        <w:rPr>
          <w:rFonts w:hint="eastAsia" w:ascii="仿宋" w:hAnsi="仿宋" w:cs="仿宋"/>
          <w:color w:val="000000"/>
          <w:szCs w:val="32"/>
        </w:rPr>
      </w:pPr>
    </w:p>
    <w:p w14:paraId="4587A2C7">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第一章 竞买须知</w:t>
      </w:r>
    </w:p>
    <w:p w14:paraId="79390F2C">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第二章 挂牌竞价规则</w:t>
      </w:r>
    </w:p>
    <w:p w14:paraId="5F0444B7">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第三章 其他材料</w:t>
      </w:r>
    </w:p>
    <w:p w14:paraId="72068C12">
      <w:pPr>
        <w:pStyle w:val="6"/>
        <w:rPr>
          <w:rFonts w:hint="eastAsia" w:ascii="仿宋_GB2312" w:hAnsi="仿宋_GB2312" w:eastAsia="仿宋_GB2312" w:cs="仿宋_GB2312"/>
          <w:color w:val="000000"/>
          <w:szCs w:val="32"/>
        </w:rPr>
      </w:pPr>
    </w:p>
    <w:p w14:paraId="3CBFED48">
      <w:pPr>
        <w:pStyle w:val="6"/>
        <w:rPr>
          <w:rFonts w:hint="eastAsia" w:ascii="仿宋_GB2312" w:hAnsi="仿宋_GB2312" w:eastAsia="仿宋_GB2312" w:cs="仿宋_GB2312"/>
          <w:color w:val="000000"/>
          <w:szCs w:val="32"/>
        </w:rPr>
      </w:pPr>
    </w:p>
    <w:p w14:paraId="5A9EC376">
      <w:pPr>
        <w:pStyle w:val="6"/>
        <w:rPr>
          <w:rFonts w:hint="eastAsia" w:ascii="仿宋_GB2312" w:hAnsi="仿宋_GB2312" w:eastAsia="仿宋_GB2312" w:cs="仿宋_GB2312"/>
          <w:color w:val="000000"/>
          <w:szCs w:val="32"/>
        </w:rPr>
      </w:pPr>
    </w:p>
    <w:p w14:paraId="71E64A44">
      <w:pPr>
        <w:pStyle w:val="6"/>
        <w:rPr>
          <w:rFonts w:hint="eastAsia" w:ascii="仿宋_GB2312" w:hAnsi="仿宋_GB2312" w:eastAsia="仿宋_GB2312" w:cs="仿宋_GB2312"/>
          <w:color w:val="000000"/>
          <w:szCs w:val="32"/>
        </w:rPr>
      </w:pPr>
    </w:p>
    <w:p w14:paraId="0D47B995">
      <w:pPr>
        <w:pStyle w:val="6"/>
        <w:rPr>
          <w:rFonts w:hint="eastAsia" w:ascii="仿宋_GB2312" w:hAnsi="仿宋_GB2312" w:eastAsia="仿宋_GB2312" w:cs="仿宋_GB2312"/>
          <w:color w:val="000000"/>
          <w:szCs w:val="32"/>
        </w:rPr>
      </w:pPr>
    </w:p>
    <w:p w14:paraId="7E47D7DA">
      <w:pPr>
        <w:pStyle w:val="6"/>
        <w:rPr>
          <w:rFonts w:hint="eastAsia" w:ascii="仿宋_GB2312" w:hAnsi="仿宋_GB2312" w:eastAsia="仿宋_GB2312" w:cs="仿宋_GB2312"/>
          <w:color w:val="000000"/>
          <w:szCs w:val="32"/>
        </w:rPr>
      </w:pPr>
    </w:p>
    <w:p w14:paraId="6EE66195">
      <w:pPr>
        <w:pStyle w:val="6"/>
        <w:rPr>
          <w:rFonts w:hint="eastAsia" w:ascii="仿宋_GB2312" w:hAnsi="仿宋_GB2312" w:eastAsia="仿宋_GB2312" w:cs="仿宋_GB2312"/>
          <w:color w:val="000000"/>
          <w:szCs w:val="32"/>
        </w:rPr>
      </w:pPr>
    </w:p>
    <w:p w14:paraId="09DDE9B7">
      <w:pPr>
        <w:pStyle w:val="6"/>
        <w:rPr>
          <w:rFonts w:hint="eastAsia" w:ascii="仿宋_GB2312" w:hAnsi="仿宋_GB2312" w:eastAsia="仿宋_GB2312" w:cs="仿宋_GB2312"/>
          <w:color w:val="000000"/>
          <w:szCs w:val="32"/>
        </w:rPr>
      </w:pPr>
    </w:p>
    <w:p w14:paraId="70DF2FA0">
      <w:pPr>
        <w:pStyle w:val="6"/>
        <w:rPr>
          <w:rFonts w:hint="eastAsia" w:ascii="仿宋_GB2312" w:hAnsi="仿宋_GB2312" w:eastAsia="仿宋_GB2312" w:cs="仿宋_GB2312"/>
          <w:color w:val="000000"/>
          <w:szCs w:val="32"/>
        </w:rPr>
      </w:pPr>
    </w:p>
    <w:p w14:paraId="6CA7195D">
      <w:pPr>
        <w:pStyle w:val="6"/>
        <w:rPr>
          <w:rFonts w:hint="eastAsia" w:ascii="仿宋_GB2312" w:hAnsi="仿宋_GB2312" w:eastAsia="仿宋_GB2312" w:cs="仿宋_GB2312"/>
          <w:color w:val="000000"/>
          <w:szCs w:val="32"/>
        </w:rPr>
      </w:pPr>
    </w:p>
    <w:p w14:paraId="2A629B77">
      <w:pPr>
        <w:pStyle w:val="6"/>
        <w:rPr>
          <w:rFonts w:hint="eastAsia" w:ascii="仿宋_GB2312" w:hAnsi="仿宋_GB2312" w:eastAsia="仿宋_GB2312" w:cs="仿宋_GB2312"/>
          <w:color w:val="000000"/>
          <w:szCs w:val="32"/>
        </w:rPr>
      </w:pPr>
    </w:p>
    <w:p w14:paraId="64FB4DFF">
      <w:pPr>
        <w:pStyle w:val="6"/>
        <w:rPr>
          <w:rFonts w:hint="eastAsia" w:ascii="仿宋_GB2312" w:hAnsi="仿宋_GB2312" w:eastAsia="仿宋_GB2312" w:cs="仿宋_GB2312"/>
          <w:color w:val="000000"/>
          <w:szCs w:val="32"/>
        </w:rPr>
      </w:pPr>
    </w:p>
    <w:p w14:paraId="320A6388">
      <w:pPr>
        <w:pStyle w:val="6"/>
        <w:rPr>
          <w:rFonts w:hint="eastAsia" w:ascii="仿宋_GB2312" w:hAnsi="仿宋_GB2312" w:eastAsia="仿宋_GB2312" w:cs="仿宋_GB2312"/>
          <w:color w:val="000000"/>
          <w:szCs w:val="32"/>
        </w:rPr>
      </w:pPr>
    </w:p>
    <w:p w14:paraId="10AB2386">
      <w:pPr>
        <w:pStyle w:val="6"/>
        <w:rPr>
          <w:rFonts w:hint="eastAsia" w:ascii="仿宋_GB2312" w:hAnsi="仿宋_GB2312" w:eastAsia="仿宋_GB2312" w:cs="仿宋_GB2312"/>
          <w:color w:val="000000"/>
          <w:szCs w:val="32"/>
        </w:rPr>
      </w:pPr>
    </w:p>
    <w:p w14:paraId="25071291">
      <w:pPr>
        <w:pStyle w:val="6"/>
        <w:rPr>
          <w:rFonts w:hint="eastAsia" w:ascii="仿宋_GB2312" w:hAnsi="仿宋_GB2312" w:eastAsia="仿宋_GB2312" w:cs="仿宋_GB2312"/>
          <w:color w:val="000000"/>
          <w:szCs w:val="32"/>
        </w:rPr>
      </w:pPr>
    </w:p>
    <w:p w14:paraId="69293428">
      <w:pPr>
        <w:pStyle w:val="6"/>
        <w:rPr>
          <w:rFonts w:hint="eastAsia" w:ascii="仿宋_GB2312" w:hAnsi="仿宋_GB2312" w:eastAsia="仿宋_GB2312" w:cs="仿宋_GB2312"/>
          <w:color w:val="000000"/>
          <w:szCs w:val="32"/>
        </w:rPr>
      </w:pPr>
    </w:p>
    <w:p w14:paraId="345BFAA5">
      <w:pPr>
        <w:pStyle w:val="6"/>
        <w:rPr>
          <w:rFonts w:hint="eastAsia" w:ascii="仿宋_GB2312" w:hAnsi="仿宋_GB2312" w:eastAsia="仿宋_GB2312" w:cs="仿宋_GB2312"/>
          <w:color w:val="000000"/>
          <w:szCs w:val="32"/>
        </w:rPr>
      </w:pPr>
    </w:p>
    <w:p w14:paraId="58C849A1">
      <w:pPr>
        <w:pStyle w:val="6"/>
        <w:rPr>
          <w:rFonts w:hint="eastAsia" w:ascii="仿宋_GB2312" w:hAnsi="仿宋_GB2312" w:eastAsia="仿宋_GB2312" w:cs="仿宋_GB2312"/>
          <w:color w:val="000000"/>
          <w:szCs w:val="32"/>
        </w:rPr>
      </w:pPr>
    </w:p>
    <w:p w14:paraId="57CB6D8F">
      <w:pPr>
        <w:pStyle w:val="6"/>
        <w:rPr>
          <w:rFonts w:hint="eastAsia" w:ascii="仿宋_GB2312" w:hAnsi="仿宋_GB2312" w:eastAsia="仿宋_GB2312" w:cs="仿宋_GB2312"/>
          <w:color w:val="000000"/>
          <w:szCs w:val="32"/>
        </w:rPr>
      </w:pPr>
    </w:p>
    <w:p w14:paraId="4C5929B5">
      <w:pPr>
        <w:pStyle w:val="6"/>
        <w:rPr>
          <w:rFonts w:hint="eastAsia" w:ascii="仿宋_GB2312" w:hAnsi="仿宋_GB2312" w:eastAsia="仿宋_GB2312" w:cs="仿宋_GB2312"/>
          <w:color w:val="000000"/>
          <w:szCs w:val="32"/>
        </w:rPr>
      </w:pPr>
    </w:p>
    <w:p w14:paraId="0966E61C">
      <w:pPr>
        <w:pStyle w:val="6"/>
        <w:rPr>
          <w:rFonts w:hint="eastAsia" w:ascii="仿宋_GB2312" w:hAnsi="仿宋_GB2312" w:eastAsia="仿宋_GB2312" w:cs="仿宋_GB2312"/>
          <w:color w:val="000000"/>
          <w:szCs w:val="32"/>
        </w:rPr>
      </w:pPr>
    </w:p>
    <w:p w14:paraId="0064923E">
      <w:pPr>
        <w:pStyle w:val="6"/>
        <w:rPr>
          <w:rFonts w:hint="eastAsia" w:ascii="仿宋_GB2312" w:hAnsi="仿宋_GB2312" w:eastAsia="仿宋_GB2312" w:cs="仿宋_GB2312"/>
          <w:color w:val="000000"/>
          <w:szCs w:val="32"/>
        </w:rPr>
      </w:pPr>
    </w:p>
    <w:p w14:paraId="26FE0F24">
      <w:pPr>
        <w:pStyle w:val="6"/>
        <w:rPr>
          <w:rFonts w:hint="eastAsia" w:ascii="仿宋_GB2312" w:hAnsi="仿宋_GB2312" w:eastAsia="仿宋_GB2312" w:cs="仿宋_GB2312"/>
          <w:color w:val="000000"/>
          <w:szCs w:val="32"/>
        </w:rPr>
      </w:pPr>
    </w:p>
    <w:p w14:paraId="3A74BCF8">
      <w:pPr>
        <w:pStyle w:val="6"/>
        <w:rPr>
          <w:rFonts w:hint="eastAsia" w:ascii="仿宋_GB2312" w:hAnsi="仿宋_GB2312" w:eastAsia="仿宋_GB2312" w:cs="仿宋_GB2312"/>
          <w:color w:val="000000"/>
          <w:szCs w:val="32"/>
        </w:rPr>
      </w:pPr>
    </w:p>
    <w:p w14:paraId="344B764B">
      <w:pPr>
        <w:pStyle w:val="6"/>
        <w:rPr>
          <w:rFonts w:hint="eastAsia" w:ascii="仿宋_GB2312" w:hAnsi="仿宋_GB2312" w:eastAsia="仿宋_GB2312" w:cs="仿宋_GB2312"/>
          <w:color w:val="000000"/>
          <w:szCs w:val="32"/>
        </w:rPr>
      </w:pPr>
    </w:p>
    <w:p w14:paraId="448DC290">
      <w:pPr>
        <w:pStyle w:val="6"/>
        <w:rPr>
          <w:rFonts w:hint="eastAsia" w:ascii="仿宋_GB2312" w:hAnsi="仿宋_GB2312" w:eastAsia="仿宋_GB2312" w:cs="仿宋_GB2312"/>
          <w:color w:val="000000"/>
          <w:szCs w:val="32"/>
        </w:rPr>
      </w:pPr>
    </w:p>
    <w:p w14:paraId="57B6A672">
      <w:pPr>
        <w:pStyle w:val="6"/>
        <w:rPr>
          <w:rFonts w:hint="eastAsia" w:ascii="仿宋_GB2312" w:hAnsi="仿宋_GB2312" w:eastAsia="仿宋_GB2312" w:cs="仿宋_GB2312"/>
          <w:color w:val="000000"/>
          <w:szCs w:val="32"/>
        </w:rPr>
      </w:pPr>
    </w:p>
    <w:p w14:paraId="774A7CC0">
      <w:pPr>
        <w:pStyle w:val="6"/>
        <w:rPr>
          <w:rFonts w:hint="eastAsia" w:ascii="仿宋_GB2312" w:hAnsi="仿宋_GB2312" w:eastAsia="仿宋_GB2312" w:cs="仿宋_GB2312"/>
          <w:color w:val="000000"/>
          <w:szCs w:val="32"/>
        </w:rPr>
      </w:pPr>
    </w:p>
    <w:p w14:paraId="149AF98C">
      <w:pPr>
        <w:pStyle w:val="6"/>
        <w:rPr>
          <w:rFonts w:hint="default" w:ascii="仿宋_GB2312" w:hAnsi="仿宋_GB2312" w:eastAsia="仿宋_GB2312" w:cs="仿宋_GB2312"/>
          <w:color w:val="000000"/>
          <w:szCs w:val="32"/>
          <w:lang w:val="en-US" w:eastAsia="zh-CN"/>
        </w:rPr>
      </w:pPr>
    </w:p>
    <w:p w14:paraId="19D27DEE">
      <w:pPr>
        <w:pStyle w:val="2"/>
        <w:spacing w:line="560" w:lineRule="exact"/>
        <w:ind w:left="0" w:leftChars="0" w:firstLine="0" w:firstLineChars="0"/>
        <w:jc w:val="center"/>
        <w:rPr>
          <w:b w:val="0"/>
          <w:bCs w:val="0"/>
          <w:color w:val="000000"/>
          <w:sz w:val="36"/>
          <w:szCs w:val="36"/>
        </w:rPr>
      </w:pPr>
      <w:bookmarkStart w:id="0" w:name="_Toc7534"/>
      <w:r>
        <w:rPr>
          <w:b w:val="0"/>
          <w:bCs w:val="0"/>
          <w:color w:val="000000"/>
          <w:sz w:val="36"/>
          <w:szCs w:val="36"/>
        </w:rPr>
        <w:t xml:space="preserve">第一章 </w:t>
      </w:r>
      <w:bookmarkEnd w:id="0"/>
      <w:r>
        <w:rPr>
          <w:b w:val="0"/>
          <w:bCs w:val="0"/>
          <w:color w:val="000000"/>
          <w:sz w:val="36"/>
          <w:szCs w:val="36"/>
        </w:rPr>
        <w:t>竞买须知</w:t>
      </w:r>
    </w:p>
    <w:p w14:paraId="03BE00BB">
      <w:pPr>
        <w:pStyle w:val="3"/>
        <w:spacing w:before="0" w:after="0" w:line="560" w:lineRule="exact"/>
        <w:ind w:firstLine="640" w:firstLineChars="200"/>
        <w:jc w:val="both"/>
        <w:rPr>
          <w:rFonts w:ascii="Times New Roman" w:hAnsi="Times New Roman"/>
          <w:b w:val="0"/>
          <w:bCs w:val="0"/>
          <w:color w:val="000000"/>
          <w:sz w:val="32"/>
          <w:szCs w:val="32"/>
        </w:rPr>
      </w:pPr>
      <w:bookmarkStart w:id="1" w:name="_Toc11629"/>
      <w:bookmarkEnd w:id="1"/>
      <w:bookmarkStart w:id="2" w:name="_Toc466928017"/>
      <w:bookmarkEnd w:id="2"/>
      <w:bookmarkStart w:id="3" w:name="_Toc22159"/>
      <w:bookmarkEnd w:id="3"/>
      <w:bookmarkStart w:id="4" w:name="_Toc467235654"/>
      <w:bookmarkEnd w:id="4"/>
      <w:bookmarkStart w:id="5" w:name="_Toc23315"/>
      <w:bookmarkEnd w:id="5"/>
      <w:bookmarkStart w:id="6" w:name="_Toc30570"/>
      <w:r>
        <w:rPr>
          <w:rFonts w:ascii="Times New Roman" w:hAnsi="Times New Roman"/>
          <w:b w:val="0"/>
          <w:bCs w:val="0"/>
          <w:color w:val="000000"/>
          <w:sz w:val="32"/>
          <w:szCs w:val="32"/>
        </w:rPr>
        <w:t>一、总则</w:t>
      </w:r>
      <w:bookmarkEnd w:id="6"/>
    </w:p>
    <w:p w14:paraId="5FA1E3D9">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根据《中华人民共和国土地管理法》、《中华人民共和国城镇国有土地使用权出让和转让暂行条例》、《招标拍卖</w:t>
      </w:r>
      <w:r>
        <w:rPr>
          <w:rFonts w:hint="eastAsia" w:eastAsia="仿宋_GB2312" w:cs="Times New Roman"/>
          <w:color w:val="000000"/>
          <w:szCs w:val="32"/>
          <w:highlight w:val="none"/>
          <w:lang w:eastAsia="zh-CN"/>
        </w:rPr>
        <w:t>挂牌出让</w:t>
      </w:r>
      <w:r>
        <w:rPr>
          <w:rFonts w:hint="default" w:ascii="Times New Roman" w:hAnsi="Times New Roman" w:eastAsia="仿宋_GB2312" w:cs="Times New Roman"/>
          <w:color w:val="000000"/>
          <w:szCs w:val="32"/>
          <w:highlight w:val="none"/>
        </w:rPr>
        <w:t>国有建设用地使用权规定》</w:t>
      </w:r>
      <w:r>
        <w:rPr>
          <w:rFonts w:hint="eastAsia" w:eastAsia="仿宋_GB2312" w:cs="Times New Roman"/>
          <w:color w:val="000000"/>
          <w:szCs w:val="32"/>
          <w:highlight w:val="none"/>
          <w:lang w:val="en-US" w:eastAsia="zh-CN"/>
        </w:rPr>
        <w:t>和《关于印发&lt;新疆维吾尔自治区公共资源交易目录&gt;的通知》（新政办函〔2021〕520号）</w:t>
      </w:r>
      <w:r>
        <w:rPr>
          <w:rFonts w:hint="eastAsia" w:ascii="Times New Roman" w:hAnsi="Times New Roman" w:eastAsia="仿宋_GB2312" w:cs="Times New Roman"/>
          <w:color w:val="000000"/>
          <w:szCs w:val="32"/>
          <w:highlight w:val="none"/>
        </w:rPr>
        <w:t>等有关法律法规和政策规定，</w:t>
      </w:r>
      <w:r>
        <w:rPr>
          <w:rFonts w:hint="eastAsia" w:ascii="Times New Roman" w:hAnsi="Times New Roman" w:eastAsia="仿宋_GB2312" w:cs="Times New Roman"/>
          <w:color w:val="000000"/>
          <w:szCs w:val="32"/>
          <w:highlight w:val="none"/>
          <w:lang w:val="en-US" w:eastAsia="zh-CN"/>
        </w:rPr>
        <w:t>受出让人委托</w:t>
      </w:r>
      <w:r>
        <w:rPr>
          <w:rFonts w:hint="default" w:ascii="Times New Roman" w:hAnsi="Times New Roman" w:eastAsia="仿宋_GB2312" w:cs="Times New Roman"/>
          <w:color w:val="000000"/>
          <w:szCs w:val="32"/>
          <w:highlight w:val="none"/>
        </w:rPr>
        <w:t>，</w:t>
      </w:r>
      <w:r>
        <w:rPr>
          <w:rFonts w:hint="default" w:ascii="Times New Roman" w:hAnsi="Times New Roman" w:eastAsia="仿宋_GB2312" w:cs="Times New Roman"/>
          <w:color w:val="000000"/>
          <w:szCs w:val="32"/>
          <w:highlight w:val="none"/>
          <w:lang w:eastAsia="zh-CN"/>
        </w:rPr>
        <w:t>由</w:t>
      </w:r>
      <w:r>
        <w:rPr>
          <w:rFonts w:hint="eastAsia" w:ascii="Times New Roman" w:hAnsi="Times New Roman" w:eastAsia="仿宋_GB2312" w:cs="Times New Roman"/>
          <w:color w:val="000000"/>
          <w:szCs w:val="32"/>
          <w:highlight w:val="none"/>
          <w:lang w:val="en-US" w:eastAsia="zh-CN"/>
        </w:rPr>
        <w:t>巴州</w:t>
      </w:r>
      <w:r>
        <w:rPr>
          <w:rFonts w:hint="default" w:ascii="Times New Roman" w:hAnsi="Times New Roman" w:eastAsia="仿宋_GB2312" w:cs="Times New Roman"/>
          <w:color w:val="000000"/>
          <w:szCs w:val="32"/>
          <w:highlight w:val="none"/>
        </w:rPr>
        <w:t>政务服务和公共资源交易中心</w:t>
      </w:r>
      <w:r>
        <w:rPr>
          <w:rFonts w:hint="eastAsia" w:ascii="Times New Roman" w:hAnsi="Times New Roman"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lang w:val="en-US" w:eastAsia="zh-CN"/>
        </w:rPr>
        <w:t>以下简称“交易中心”）</w:t>
      </w:r>
      <w:r>
        <w:rPr>
          <w:rFonts w:hint="default" w:ascii="Times New Roman" w:hAnsi="Times New Roman" w:eastAsia="仿宋_GB2312" w:cs="Times New Roman"/>
          <w:color w:val="000000"/>
          <w:szCs w:val="32"/>
          <w:highlight w:val="none"/>
          <w:lang w:eastAsia="zh-CN"/>
        </w:rPr>
        <w:t>组织实施国有建设用地使用权</w:t>
      </w:r>
      <w:r>
        <w:rPr>
          <w:rFonts w:hint="eastAsia" w:eastAsia="仿宋_GB2312" w:cs="Times New Roman"/>
          <w:color w:val="000000"/>
          <w:szCs w:val="32"/>
          <w:highlight w:val="none"/>
          <w:lang w:eastAsia="zh-CN"/>
        </w:rPr>
        <w:t>挂牌出让</w:t>
      </w:r>
      <w:r>
        <w:rPr>
          <w:rFonts w:hint="default" w:ascii="Times New Roman" w:hAnsi="Times New Roman" w:eastAsia="仿宋_GB2312" w:cs="Times New Roman"/>
          <w:color w:val="000000"/>
          <w:szCs w:val="32"/>
          <w:highlight w:val="none"/>
          <w:lang w:eastAsia="zh-CN"/>
        </w:rPr>
        <w:t>活动</w:t>
      </w:r>
      <w:r>
        <w:rPr>
          <w:rFonts w:hint="default" w:ascii="Times New Roman" w:hAnsi="Times New Roman" w:eastAsia="仿宋_GB2312" w:cs="Times New Roman"/>
          <w:color w:val="000000"/>
          <w:szCs w:val="32"/>
          <w:highlight w:val="none"/>
        </w:rPr>
        <w:t>。</w:t>
      </w:r>
    </w:p>
    <w:p w14:paraId="7E7459F7">
      <w:pPr>
        <w:pStyle w:val="3"/>
        <w:numPr>
          <w:ilvl w:val="0"/>
          <w:numId w:val="1"/>
        </w:numPr>
        <w:spacing w:before="0" w:after="0" w:line="560" w:lineRule="exact"/>
        <w:ind w:firstLine="640" w:firstLineChars="200"/>
        <w:jc w:val="both"/>
        <w:rPr>
          <w:rFonts w:ascii="Times New Roman" w:hAnsi="Times New Roman"/>
          <w:b w:val="0"/>
          <w:bCs w:val="0"/>
          <w:color w:val="000000"/>
          <w:sz w:val="32"/>
          <w:szCs w:val="32"/>
        </w:rPr>
      </w:pPr>
      <w:r>
        <w:rPr>
          <w:rFonts w:hint="eastAsia" w:ascii="Times New Roman" w:hAnsi="Times New Roman"/>
          <w:b w:val="0"/>
          <w:bCs w:val="0"/>
          <w:color w:val="000000"/>
          <w:sz w:val="32"/>
          <w:szCs w:val="32"/>
          <w:lang w:eastAsia="zh-CN"/>
        </w:rPr>
        <w:t>挂牌出让</w:t>
      </w:r>
    </w:p>
    <w:p w14:paraId="2016E60A">
      <w:pPr>
        <w:spacing w:line="560" w:lineRule="exact"/>
        <w:rPr>
          <w:rFonts w:hint="eastAsia" w:ascii="Times New Roman" w:hAnsi="Times New Roman" w:eastAsia="仿宋_GB2312" w:cs="Times New Roman"/>
          <w:color w:val="000000"/>
          <w:szCs w:val="32"/>
          <w:highlight w:val="none"/>
        </w:rPr>
      </w:pPr>
      <w:r>
        <w:rPr>
          <w:rFonts w:hint="eastAsia" w:ascii="楷体" w:hAnsi="楷体" w:eastAsia="楷体" w:cs="楷体"/>
          <w:b/>
          <w:bCs/>
          <w:color w:val="000000"/>
          <w:highlight w:val="none"/>
          <w:lang w:val="en-US" w:eastAsia="zh-CN"/>
        </w:rPr>
        <w:t>（一）挂牌出让</w:t>
      </w:r>
      <w:r>
        <w:rPr>
          <w:rFonts w:hint="eastAsia" w:ascii="楷体" w:hAnsi="楷体" w:eastAsia="楷体" w:cs="楷体"/>
          <w:b/>
          <w:bCs/>
          <w:color w:val="000000"/>
          <w:highlight w:val="none"/>
        </w:rPr>
        <w:t>具体包括：</w:t>
      </w:r>
      <w:r>
        <w:rPr>
          <w:rFonts w:hint="eastAsia" w:ascii="Times New Roman" w:hAnsi="Times New Roman" w:eastAsia="仿宋_GB2312" w:cs="Times New Roman"/>
          <w:color w:val="000000"/>
          <w:szCs w:val="32"/>
          <w:highlight w:val="none"/>
          <w:lang w:val="en-US" w:eastAsia="zh-CN"/>
        </w:rPr>
        <w:t xml:space="preserve">      </w:t>
      </w:r>
      <w:r>
        <w:rPr>
          <w:rFonts w:hint="eastAsia" w:ascii="Times New Roman" w:hAnsi="Times New Roman" w:eastAsia="仿宋_GB2312" w:cs="Times New Roman"/>
          <w:color w:val="000000"/>
          <w:szCs w:val="32"/>
          <w:highlight w:val="none"/>
        </w:rPr>
        <w:t xml:space="preserve"> </w:t>
      </w:r>
    </w:p>
    <w:p w14:paraId="5869E7D8">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1、</w:t>
      </w:r>
      <w:r>
        <w:rPr>
          <w:rFonts w:hint="eastAsia" w:eastAsia="仿宋_GB2312" w:cs="Times New Roman"/>
          <w:color w:val="000000"/>
          <w:szCs w:val="32"/>
          <w:highlight w:val="none"/>
          <w:lang w:eastAsia="zh-CN"/>
        </w:rPr>
        <w:t>挂牌出让</w:t>
      </w:r>
      <w:r>
        <w:rPr>
          <w:rFonts w:hint="eastAsia" w:ascii="Times New Roman" w:hAnsi="Times New Roman" w:eastAsia="仿宋_GB2312" w:cs="Times New Roman"/>
          <w:color w:val="000000"/>
          <w:szCs w:val="32"/>
          <w:highlight w:val="none"/>
        </w:rPr>
        <w:t xml:space="preserve">公告； </w:t>
      </w:r>
    </w:p>
    <w:p w14:paraId="3FCE1595">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2、</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竞买</w:t>
      </w:r>
      <w:r>
        <w:rPr>
          <w:rFonts w:hint="eastAsia" w:ascii="Times New Roman" w:hAnsi="Times New Roman" w:eastAsia="仿宋_GB2312" w:cs="Times New Roman"/>
          <w:color w:val="000000"/>
          <w:szCs w:val="32"/>
          <w:highlight w:val="none"/>
        </w:rPr>
        <w:t>须知；</w:t>
      </w:r>
    </w:p>
    <w:p w14:paraId="61EDCD5A">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rPr>
        <w:t>竞买申请书；</w:t>
      </w:r>
    </w:p>
    <w:p w14:paraId="2C971AE3">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竞买登记表；</w:t>
      </w:r>
    </w:p>
    <w:p w14:paraId="72CCF0A0">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5、</w:t>
      </w:r>
      <w:r>
        <w:rPr>
          <w:rFonts w:hint="eastAsia" w:eastAsia="仿宋_GB2312" w:cs="Times New Roman"/>
          <w:color w:val="000000"/>
          <w:szCs w:val="32"/>
          <w:highlight w:val="none"/>
          <w:lang w:eastAsia="zh-CN"/>
        </w:rPr>
        <w:t>挂牌出让</w:t>
      </w:r>
      <w:r>
        <w:rPr>
          <w:rFonts w:hint="eastAsia" w:ascii="Times New Roman" w:hAnsi="Times New Roman" w:eastAsia="仿宋_GB2312" w:cs="Times New Roman"/>
          <w:color w:val="000000"/>
          <w:szCs w:val="32"/>
          <w:highlight w:val="none"/>
          <w:lang w:val="en-US" w:eastAsia="zh-CN"/>
        </w:rPr>
        <w:t>竞买</w:t>
      </w:r>
      <w:r>
        <w:rPr>
          <w:rFonts w:hint="eastAsia" w:ascii="Times New Roman" w:hAnsi="Times New Roman" w:eastAsia="仿宋_GB2312" w:cs="Times New Roman"/>
          <w:color w:val="000000"/>
          <w:szCs w:val="32"/>
          <w:highlight w:val="none"/>
        </w:rPr>
        <w:t>报价单；</w:t>
      </w:r>
    </w:p>
    <w:p w14:paraId="706FC25C">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6、</w:t>
      </w:r>
      <w:r>
        <w:rPr>
          <w:rFonts w:hint="eastAsia" w:ascii="Times New Roman" w:hAnsi="Times New Roman" w:eastAsia="仿宋_GB2312" w:cs="Times New Roman"/>
          <w:color w:val="000000"/>
          <w:szCs w:val="32"/>
          <w:highlight w:val="none"/>
        </w:rPr>
        <w:t xml:space="preserve">竞买人资格确认书； </w:t>
      </w:r>
    </w:p>
    <w:p w14:paraId="2D9A3E95">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7、</w:t>
      </w:r>
      <w:r>
        <w:rPr>
          <w:rFonts w:hint="eastAsia" w:ascii="Times New Roman" w:hAnsi="Times New Roman" w:eastAsia="仿宋_GB2312" w:cs="Times New Roman"/>
          <w:color w:val="000000"/>
          <w:szCs w:val="32"/>
          <w:highlight w:val="none"/>
        </w:rPr>
        <w:t>其他相关文件。</w:t>
      </w:r>
    </w:p>
    <w:p w14:paraId="5D5C701B">
      <w:pPr>
        <w:pStyle w:val="6"/>
        <w:spacing w:line="560" w:lineRule="exact"/>
        <w:ind w:firstLine="643" w:firstLineChars="200"/>
        <w:jc w:val="both"/>
        <w:rPr>
          <w:rFonts w:hint="default" w:ascii="Times New Roman" w:hAnsi="Times New Roman" w:eastAsia="楷体" w:cs="Times New Roman"/>
          <w:color w:val="auto"/>
          <w:sz w:val="32"/>
          <w:szCs w:val="32"/>
          <w:lang w:val="en-US" w:eastAsia="zh-CN"/>
        </w:rPr>
      </w:pPr>
      <w:r>
        <w:rPr>
          <w:rFonts w:hint="eastAsia" w:ascii="楷体" w:hAnsi="楷体" w:eastAsia="楷体" w:cs="楷体"/>
          <w:b/>
          <w:bCs/>
          <w:color w:val="000000"/>
          <w:kern w:val="2"/>
          <w:sz w:val="32"/>
          <w:szCs w:val="24"/>
          <w:highlight w:val="none"/>
          <w:lang w:val="en-US" w:eastAsia="zh-CN" w:bidi="ar-SA"/>
        </w:rPr>
        <w:t>（二）挂牌出让文件获取</w:t>
      </w:r>
    </w:p>
    <w:p w14:paraId="696E873C">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竞买申请</w:t>
      </w:r>
      <w:r>
        <w:rPr>
          <w:rFonts w:hint="eastAsia" w:ascii="Times New Roman" w:hAnsi="Times New Roman" w:eastAsia="仿宋_GB2312" w:cs="Times New Roman"/>
          <w:color w:val="000000"/>
          <w:szCs w:val="32"/>
          <w:highlight w:val="none"/>
        </w:rPr>
        <w:t>人</w:t>
      </w:r>
      <w:r>
        <w:rPr>
          <w:rFonts w:hint="eastAsia" w:ascii="Times New Roman" w:hAnsi="Times New Roman" w:eastAsia="仿宋_GB2312" w:cs="Times New Roman"/>
          <w:color w:val="000000"/>
          <w:szCs w:val="32"/>
          <w:highlight w:val="none"/>
          <w:lang w:val="en-US" w:eastAsia="zh-CN"/>
        </w:rPr>
        <w:t>在公告规定时间</w:t>
      </w:r>
      <w:r>
        <w:rPr>
          <w:rFonts w:hint="eastAsia" w:ascii="Times New Roman" w:hAnsi="Times New Roman" w:eastAsia="仿宋_GB2312" w:cs="Times New Roman"/>
          <w:color w:val="000000"/>
          <w:szCs w:val="32"/>
          <w:highlight w:val="none"/>
        </w:rPr>
        <w:t>内到</w:t>
      </w:r>
      <w:r>
        <w:rPr>
          <w:rFonts w:hint="eastAsia" w:ascii="Times New Roman" w:hAnsi="Times New Roman" w:eastAsia="仿宋_GB2312" w:cs="Times New Roman"/>
          <w:color w:val="000000"/>
          <w:szCs w:val="32"/>
          <w:highlight w:val="none"/>
          <w:lang w:eastAsia="zh-CN"/>
        </w:rPr>
        <w:t>巴州政务服务和公共资源交易中心（</w:t>
      </w:r>
      <w:r>
        <w:rPr>
          <w:rFonts w:hint="eastAsia" w:ascii="Times New Roman" w:hAnsi="Times New Roman" w:eastAsia="仿宋_GB2312" w:cs="Times New Roman"/>
          <w:color w:val="000000"/>
          <w:szCs w:val="32"/>
          <w:highlight w:val="none"/>
        </w:rPr>
        <w:t>库尔勒市索克巴格路巴州住建大厦</w:t>
      </w:r>
      <w:r>
        <w:rPr>
          <w:rFonts w:hint="eastAsia" w:ascii="Times New Roman" w:hAnsi="Times New Roman" w:eastAsia="仿宋_GB2312" w:cs="Times New Roman"/>
          <w:color w:val="000000"/>
          <w:szCs w:val="32"/>
          <w:highlight w:val="none"/>
          <w:lang w:val="en-US" w:eastAsia="zh-CN"/>
        </w:rPr>
        <w:t>11楼1118室</w:t>
      </w:r>
      <w:r>
        <w:rPr>
          <w:rFonts w:hint="eastAsia" w:ascii="Times New Roman" w:hAnsi="Times New Roman"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获取</w:t>
      </w:r>
      <w:r>
        <w:rPr>
          <w:rFonts w:hint="eastAsia" w:eastAsia="仿宋_GB2312" w:cs="Times New Roman"/>
          <w:color w:val="000000"/>
          <w:szCs w:val="32"/>
          <w:highlight w:val="none"/>
          <w:lang w:eastAsia="zh-CN"/>
        </w:rPr>
        <w:t>挂牌出让</w:t>
      </w:r>
      <w:r>
        <w:rPr>
          <w:rFonts w:hint="eastAsia" w:ascii="Times New Roman" w:hAnsi="Times New Roman" w:eastAsia="仿宋_GB2312" w:cs="Times New Roman"/>
          <w:color w:val="000000"/>
          <w:szCs w:val="32"/>
          <w:highlight w:val="none"/>
        </w:rPr>
        <w:t>文件，也可在报名期限内登录</w:t>
      </w:r>
      <w:r>
        <w:rPr>
          <w:rFonts w:hint="eastAsia" w:eastAsia="仿宋_GB2312" w:cs="Times New Roman"/>
          <w:color w:val="000000"/>
          <w:szCs w:val="32"/>
          <w:highlight w:val="none"/>
          <w:lang w:val="en-US" w:eastAsia="zh-CN"/>
        </w:rPr>
        <w:t>巴州公共资源交易</w:t>
      </w:r>
      <w:r>
        <w:rPr>
          <w:rFonts w:hint="eastAsia" w:ascii="Times New Roman" w:hAnsi="Times New Roman" w:eastAsia="仿宋_GB2312" w:cs="Times New Roman"/>
          <w:color w:val="000000"/>
          <w:szCs w:val="32"/>
          <w:highlight w:val="none"/>
        </w:rPr>
        <w:t>网（http://xjbzggzy.cn/）查阅或下载上述出让文件。</w:t>
      </w:r>
    </w:p>
    <w:p w14:paraId="5E2EC096">
      <w:pPr>
        <w:pStyle w:val="6"/>
        <w:ind w:firstLine="643" w:firstLineChars="200"/>
        <w:rPr>
          <w:rFonts w:hint="default" w:ascii="楷体" w:hAnsi="楷体" w:eastAsia="楷体" w:cs="楷体"/>
          <w:b/>
          <w:bCs/>
          <w:color w:val="000000"/>
          <w:kern w:val="2"/>
          <w:sz w:val="32"/>
          <w:szCs w:val="24"/>
          <w:highlight w:val="none"/>
          <w:lang w:val="en-US" w:eastAsia="zh-CN" w:bidi="ar-SA"/>
        </w:rPr>
      </w:pPr>
    </w:p>
    <w:p w14:paraId="735F02A9">
      <w:pPr>
        <w:pStyle w:val="6"/>
        <w:rPr>
          <w:rFonts w:hint="default"/>
          <w:lang w:val="en-US" w:eastAsia="zh-CN"/>
        </w:rPr>
      </w:pPr>
    </w:p>
    <w:p w14:paraId="46119324">
      <w:pPr>
        <w:spacing w:line="560" w:lineRule="exact"/>
        <w:ind w:firstLine="643"/>
        <w:rPr>
          <w:rFonts w:hint="eastAsia" w:ascii="楷体" w:hAnsi="楷体" w:eastAsia="楷体" w:cs="楷体"/>
          <w:b/>
          <w:bCs/>
          <w:color w:val="000000"/>
          <w:highlight w:val="none"/>
        </w:rPr>
      </w:pPr>
      <w:bookmarkStart w:id="7" w:name="_Toc37108511"/>
      <w:bookmarkEnd w:id="7"/>
      <w:bookmarkStart w:id="8" w:name="_Toc22344"/>
      <w:bookmarkEnd w:id="8"/>
      <w:r>
        <w:rPr>
          <w:rFonts w:hint="eastAsia" w:ascii="楷体" w:hAnsi="楷体" w:eastAsia="楷体" w:cs="楷体"/>
          <w:b/>
          <w:bCs/>
          <w:color w:val="000000"/>
          <w:highlight w:val="none"/>
        </w:rPr>
        <w:t>（</w:t>
      </w:r>
      <w:r>
        <w:rPr>
          <w:rFonts w:hint="eastAsia" w:ascii="楷体" w:hAnsi="楷体" w:eastAsia="楷体" w:cs="楷体"/>
          <w:b/>
          <w:bCs/>
          <w:color w:val="000000"/>
          <w:highlight w:val="none"/>
          <w:lang w:val="en-US" w:eastAsia="zh-CN"/>
        </w:rPr>
        <w:t>三</w:t>
      </w:r>
      <w:r>
        <w:rPr>
          <w:rFonts w:hint="eastAsia" w:ascii="楷体" w:hAnsi="楷体" w:eastAsia="楷体" w:cs="楷体"/>
          <w:b/>
          <w:bCs/>
          <w:color w:val="000000"/>
          <w:highlight w:val="none"/>
        </w:rPr>
        <w:t>）</w:t>
      </w:r>
      <w:r>
        <w:rPr>
          <w:rFonts w:hint="eastAsia" w:ascii="楷体" w:hAnsi="楷体" w:eastAsia="楷体" w:cs="楷体"/>
          <w:b/>
          <w:bCs/>
          <w:color w:val="000000"/>
          <w:highlight w:val="none"/>
          <w:lang w:eastAsia="zh-CN"/>
        </w:rPr>
        <w:t>挂牌出让</w:t>
      </w:r>
      <w:r>
        <w:rPr>
          <w:rFonts w:hint="eastAsia" w:ascii="楷体" w:hAnsi="楷体" w:eastAsia="楷体" w:cs="楷体"/>
          <w:b/>
          <w:bCs/>
          <w:color w:val="000000"/>
          <w:highlight w:val="none"/>
          <w:lang w:val="en-US" w:eastAsia="zh-CN"/>
        </w:rPr>
        <w:t>文件</w:t>
      </w:r>
      <w:r>
        <w:rPr>
          <w:rFonts w:hint="eastAsia" w:ascii="楷体" w:hAnsi="楷体" w:eastAsia="楷体" w:cs="楷体"/>
          <w:b/>
          <w:bCs/>
          <w:color w:val="000000"/>
          <w:highlight w:val="none"/>
        </w:rPr>
        <w:t>的解释、澄清</w:t>
      </w:r>
    </w:p>
    <w:p w14:paraId="255C3D7B">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1</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意向竞买人获取</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后，应仔细</w:t>
      </w:r>
      <w:r>
        <w:rPr>
          <w:rFonts w:hint="default" w:ascii="Times New Roman" w:hAnsi="Times New Roman" w:eastAsia="仿宋_GB2312" w:cs="Times New Roman"/>
          <w:color w:val="000000"/>
          <w:szCs w:val="32"/>
          <w:highlight w:val="none"/>
          <w:lang w:eastAsia="zh-CN"/>
        </w:rPr>
        <w:t>阅读</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中所有的事项、格式、条款和规范要求等，若意向竞买人</w:t>
      </w:r>
      <w:r>
        <w:rPr>
          <w:rFonts w:hint="eastAsia" w:ascii="Times New Roman" w:hAnsi="Times New Roman" w:eastAsia="仿宋_GB2312" w:cs="Times New Roman"/>
          <w:color w:val="000000"/>
          <w:szCs w:val="32"/>
          <w:highlight w:val="none"/>
          <w:lang w:val="en-US" w:eastAsia="zh-CN"/>
        </w:rPr>
        <w:t>未</w:t>
      </w:r>
      <w:r>
        <w:rPr>
          <w:rFonts w:hint="default" w:ascii="Times New Roman" w:hAnsi="Times New Roman" w:eastAsia="仿宋_GB2312" w:cs="Times New Roman"/>
          <w:color w:val="000000"/>
          <w:szCs w:val="32"/>
          <w:highlight w:val="none"/>
        </w:rPr>
        <w:t>按本</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要求提交资料，根据有关条款规定，竞买申请将被拒绝。</w:t>
      </w:r>
    </w:p>
    <w:p w14:paraId="559B71D4">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2</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意向竞买人若对</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有疑问，应于挂牌公告截止时间5个工作日前以书面形式向交易</w:t>
      </w:r>
      <w:r>
        <w:rPr>
          <w:rFonts w:hint="eastAsia" w:ascii="Times New Roman" w:hAnsi="Times New Roman" w:eastAsia="仿宋_GB2312" w:cs="Times New Roman"/>
          <w:color w:val="000000"/>
          <w:szCs w:val="32"/>
          <w:highlight w:val="none"/>
          <w:lang w:val="en-US" w:eastAsia="zh-CN"/>
        </w:rPr>
        <w:t>中心</w:t>
      </w:r>
      <w:r>
        <w:rPr>
          <w:rFonts w:hint="default" w:ascii="Times New Roman" w:hAnsi="Times New Roman" w:eastAsia="仿宋_GB2312" w:cs="Times New Roman"/>
          <w:color w:val="000000"/>
          <w:szCs w:val="32"/>
          <w:highlight w:val="none"/>
        </w:rPr>
        <w:t>提出澄清要求。</w:t>
      </w:r>
    </w:p>
    <w:p w14:paraId="1AF6A627">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3</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根据意向竞买人的要求对</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做出的澄清，交易</w:t>
      </w:r>
      <w:r>
        <w:rPr>
          <w:rFonts w:hint="eastAsia" w:ascii="Times New Roman" w:hAnsi="Times New Roman" w:eastAsia="仿宋_GB2312" w:cs="Times New Roman"/>
          <w:color w:val="000000"/>
          <w:szCs w:val="32"/>
          <w:highlight w:val="none"/>
          <w:lang w:val="en-US" w:eastAsia="zh-CN"/>
        </w:rPr>
        <w:t>中心</w:t>
      </w:r>
      <w:r>
        <w:rPr>
          <w:rFonts w:hint="default" w:ascii="Times New Roman" w:hAnsi="Times New Roman" w:eastAsia="仿宋_GB2312" w:cs="Times New Roman"/>
          <w:color w:val="000000"/>
          <w:szCs w:val="32"/>
          <w:highlight w:val="none"/>
        </w:rPr>
        <w:t>将于挂牌公告截止时间3个工作日前予以答复。</w:t>
      </w:r>
    </w:p>
    <w:p w14:paraId="6516903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sz w:val="28"/>
          <w:szCs w:val="28"/>
        </w:rPr>
      </w:pPr>
      <w:r>
        <w:rPr>
          <w:rFonts w:hint="eastAsia" w:ascii="Times New Roman" w:hAnsi="Times New Roman" w:eastAsia="黑体" w:cs="黑体"/>
          <w:b w:val="0"/>
          <w:bCs w:val="0"/>
          <w:color w:val="000000"/>
          <w:kern w:val="0"/>
          <w:sz w:val="32"/>
          <w:szCs w:val="32"/>
          <w:lang w:val="en-US" w:eastAsia="zh-CN" w:bidi="ar-SA"/>
        </w:rPr>
        <w:t>三、竞买人的资格要求</w:t>
      </w:r>
    </w:p>
    <w:p w14:paraId="08CB6DC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eastAsia="仿宋_GB2312" w:cs="Times New Roman"/>
          <w:color w:val="000000"/>
          <w:szCs w:val="32"/>
          <w:highlight w:val="none"/>
          <w:lang w:eastAsia="zh-CN"/>
        </w:rPr>
        <w:t>（</w:t>
      </w: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rPr>
        <w:t>中华人民共和国境内的法人、自然人和其他组织均可申请参加</w:t>
      </w:r>
      <w:r>
        <w:rPr>
          <w:rFonts w:hint="eastAsia" w:ascii="Times New Roman" w:hAnsi="Times New Roman" w:eastAsia="仿宋_GB2312" w:cs="Times New Roman"/>
          <w:color w:val="000000"/>
          <w:szCs w:val="32"/>
          <w:highlight w:val="none"/>
          <w:lang w:eastAsia="zh-CN"/>
        </w:rPr>
        <w:t>。申请人可以单独申请，也可以联合申请</w:t>
      </w:r>
      <w:r>
        <w:rPr>
          <w:rFonts w:hint="eastAsia" w:ascii="Times New Roman" w:hAnsi="Times New Roman" w:eastAsia="仿宋_GB2312" w:cs="Times New Roman"/>
          <w:color w:val="000000"/>
          <w:szCs w:val="32"/>
          <w:highlight w:val="none"/>
        </w:rPr>
        <w:t>。</w:t>
      </w:r>
    </w:p>
    <w:p w14:paraId="3B787ABA">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lang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rPr>
        <w:t>未在失信联合惩戒名单内（竞买申请人经营期间在国家企业信用信息公示系统（https://www.gsxt.gov.cn/index.html）、信用中国（https://www.creditchina.gov.cn）中被列入经营异常名录或严重违法失信企业黑名单，竞买申请人在中国执行信息公开网（http://zxgk.court.gov.cn/）中的单位或自然人不允许参加竞买）</w:t>
      </w:r>
      <w:r>
        <w:rPr>
          <w:rFonts w:hint="eastAsia" w:ascii="Times New Roman" w:hAnsi="Times New Roman" w:eastAsia="仿宋_GB2312" w:cs="Times New Roman"/>
          <w:color w:val="000000"/>
          <w:szCs w:val="32"/>
          <w:highlight w:val="none"/>
          <w:lang w:eastAsia="zh-CN"/>
        </w:rPr>
        <w:t>。</w:t>
      </w:r>
    </w:p>
    <w:p w14:paraId="175C5F4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rPr>
        <w:t>在本行政辖区内存在下列情形之一的法人及其控股股东、自然人和其他组织，不得申请参加竞买：</w:t>
      </w:r>
    </w:p>
    <w:p w14:paraId="6D6A6AD0">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1、至今仍拖欠土地出让金的；</w:t>
      </w:r>
    </w:p>
    <w:p w14:paraId="40ADE92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2、存在闲置土地的；</w:t>
      </w:r>
    </w:p>
    <w:p w14:paraId="5F1793EE">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3、囤地炒地的；</w:t>
      </w:r>
    </w:p>
    <w:p w14:paraId="354F884D">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4、土地开发规模超过实际开发能力的；</w:t>
      </w:r>
    </w:p>
    <w:p w14:paraId="4C0C9FE2">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5、不履行土地使用权出让合同的；</w:t>
      </w:r>
    </w:p>
    <w:p w14:paraId="3DB34278">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6、被</w:t>
      </w:r>
      <w:r>
        <w:rPr>
          <w:rFonts w:hint="eastAsia" w:ascii="Times New Roman" w:hAnsi="Times New Roman" w:eastAsia="仿宋_GB2312" w:cs="Times New Roman"/>
          <w:color w:val="000000"/>
          <w:szCs w:val="32"/>
          <w:highlight w:val="none"/>
          <w:lang w:val="en-US" w:eastAsia="zh-CN"/>
        </w:rPr>
        <w:t>自然</w:t>
      </w:r>
      <w:r>
        <w:rPr>
          <w:rFonts w:hint="eastAsia" w:ascii="Times New Roman" w:hAnsi="Times New Roman" w:eastAsia="仿宋_GB2312" w:cs="Times New Roman"/>
          <w:color w:val="000000"/>
          <w:szCs w:val="32"/>
          <w:highlight w:val="none"/>
        </w:rPr>
        <w:t>资源管理部门认定为“不诚信”的；</w:t>
      </w:r>
    </w:p>
    <w:p w14:paraId="5D29410D">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lang w:eastAsia="zh-CN"/>
        </w:rPr>
      </w:pPr>
      <w:r>
        <w:rPr>
          <w:rFonts w:hint="eastAsia" w:ascii="Times New Roman" w:hAnsi="Times New Roman" w:eastAsia="仿宋_GB2312" w:cs="Times New Roman"/>
          <w:color w:val="000000"/>
          <w:szCs w:val="32"/>
          <w:highlight w:val="none"/>
        </w:rPr>
        <w:t>7、法律、法规、规章及政策规定不得参加竞买的。</w:t>
      </w:r>
    </w:p>
    <w:p w14:paraId="453774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宋体" w:eastAsia="黑体" w:cs="黑体"/>
          <w:b w:val="0"/>
          <w:color w:val="000000"/>
          <w:kern w:val="0"/>
          <w:sz w:val="32"/>
          <w:szCs w:val="32"/>
          <w:lang w:val="en-US" w:eastAsia="zh-CN" w:bidi="ar"/>
        </w:rPr>
      </w:pPr>
      <w:r>
        <w:rPr>
          <w:rFonts w:hint="eastAsia" w:ascii="黑体" w:hAnsi="宋体" w:eastAsia="黑体" w:cs="黑体"/>
          <w:b w:val="0"/>
          <w:color w:val="000000"/>
          <w:kern w:val="0"/>
          <w:sz w:val="32"/>
          <w:szCs w:val="32"/>
          <w:lang w:val="en-US" w:eastAsia="zh-CN" w:bidi="ar"/>
        </w:rPr>
        <w:t>四、报名、挂牌报价时间及地点（北京时间）</w:t>
      </w:r>
    </w:p>
    <w:p w14:paraId="15BAAB53">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公告及报名申请时间：2024年</w:t>
      </w:r>
      <w:r>
        <w:rPr>
          <w:rFonts w:hint="eastAsia" w:eastAsia="仿宋_GB2312" w:cs="Times New Roman"/>
          <w:color w:val="000000"/>
          <w:szCs w:val="32"/>
          <w:highlight w:val="none"/>
          <w:lang w:val="en-US" w:eastAsia="zh-CN"/>
        </w:rPr>
        <w:t>10</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28</w:t>
      </w:r>
      <w:r>
        <w:rPr>
          <w:rFonts w:hint="eastAsia" w:ascii="Times New Roman" w:hAnsi="Times New Roman" w:eastAsia="仿宋_GB2312" w:cs="Times New Roman"/>
          <w:color w:val="000000"/>
          <w:szCs w:val="32"/>
          <w:highlight w:val="none"/>
        </w:rPr>
        <w:t>日10：00至2024年</w:t>
      </w:r>
      <w:r>
        <w:rPr>
          <w:rFonts w:hint="eastAsia" w:eastAsia="仿宋_GB2312" w:cs="Times New Roman"/>
          <w:color w:val="000000"/>
          <w:szCs w:val="32"/>
          <w:highlight w:val="none"/>
          <w:lang w:val="en-US" w:eastAsia="zh-CN"/>
        </w:rPr>
        <w:t>11</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16</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9</w:t>
      </w:r>
      <w:r>
        <w:rPr>
          <w:rFonts w:hint="eastAsia" w:ascii="Times New Roman" w:hAnsi="Times New Roman" w:eastAsia="仿宋_GB2312" w:cs="Times New Roman"/>
          <w:color w:val="000000"/>
          <w:szCs w:val="32"/>
          <w:highlight w:val="none"/>
        </w:rPr>
        <w:t>：00止。</w:t>
      </w:r>
    </w:p>
    <w:p w14:paraId="2DFA561F">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2</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挂牌报价时间:2024年</w:t>
      </w:r>
      <w:r>
        <w:rPr>
          <w:rFonts w:hint="eastAsia" w:eastAsia="仿宋_GB2312" w:cs="Times New Roman"/>
          <w:color w:val="000000"/>
          <w:szCs w:val="32"/>
          <w:highlight w:val="none"/>
          <w:lang w:val="en-US" w:eastAsia="zh-CN"/>
        </w:rPr>
        <w:t>11</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17</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0</w:t>
      </w:r>
      <w:r>
        <w:rPr>
          <w:rFonts w:hint="eastAsia" w:ascii="Times New Roman" w:hAnsi="Times New Roman" w:eastAsia="仿宋_GB2312" w:cs="Times New Roman"/>
          <w:color w:val="000000"/>
          <w:szCs w:val="32"/>
          <w:highlight w:val="none"/>
        </w:rPr>
        <w:t>：00至2024年</w:t>
      </w:r>
      <w:r>
        <w:rPr>
          <w:rFonts w:hint="eastAsia" w:eastAsia="仿宋_GB2312" w:cs="Times New Roman"/>
          <w:color w:val="000000"/>
          <w:szCs w:val="32"/>
          <w:highlight w:val="none"/>
          <w:lang w:val="en-US" w:eastAsia="zh-CN"/>
        </w:rPr>
        <w:t>11</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26</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6</w:t>
      </w:r>
      <w:r>
        <w:rPr>
          <w:rFonts w:hint="eastAsia" w:ascii="Times New Roman" w:hAnsi="Times New Roman" w:eastAsia="仿宋_GB2312" w:cs="Times New Roman"/>
          <w:color w:val="000000"/>
          <w:szCs w:val="32"/>
          <w:highlight w:val="none"/>
        </w:rPr>
        <w:t>：00止。</w:t>
      </w:r>
    </w:p>
    <w:p w14:paraId="60891B20">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3</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报名及报价地点：巴州政务服务和公共资源交易中心（巴州住建大厦11楼1118室）</w:t>
      </w:r>
    </w:p>
    <w:p w14:paraId="6F2B7BF5">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4</w:t>
      </w:r>
      <w:r>
        <w:rPr>
          <w:rFonts w:hint="eastAsia" w:eastAsia="仿宋_GB2312" w:cs="Times New Roman"/>
          <w:color w:val="000000"/>
          <w:szCs w:val="32"/>
          <w:highlight w:val="none"/>
          <w:lang w:val="en-US" w:eastAsia="zh-CN"/>
        </w:rPr>
        <w:t>、</w:t>
      </w:r>
      <w:r>
        <w:rPr>
          <w:rFonts w:hint="eastAsia" w:ascii="Times New Roman" w:hAnsi="Times New Roman" w:eastAsia="仿宋_GB2312" w:cs="Times New Roman"/>
          <w:color w:val="000000"/>
          <w:szCs w:val="32"/>
          <w:highlight w:val="none"/>
          <w:lang w:val="en-US" w:eastAsia="zh-CN"/>
        </w:rPr>
        <w:t>摘牌</w:t>
      </w:r>
      <w:r>
        <w:rPr>
          <w:rFonts w:hint="eastAsia" w:ascii="Times New Roman" w:hAnsi="Times New Roman" w:eastAsia="仿宋_GB2312" w:cs="Times New Roman"/>
          <w:color w:val="000000"/>
          <w:szCs w:val="32"/>
          <w:highlight w:val="none"/>
        </w:rPr>
        <w:t>会时间及地点：202</w:t>
      </w:r>
      <w:r>
        <w:rPr>
          <w:rFonts w:hint="eastAsia" w:ascii="Times New Roman" w:hAnsi="Times New Roman"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年</w:t>
      </w:r>
      <w:r>
        <w:rPr>
          <w:rFonts w:hint="eastAsia" w:eastAsia="仿宋_GB2312" w:cs="Times New Roman"/>
          <w:color w:val="000000"/>
          <w:szCs w:val="32"/>
          <w:highlight w:val="none"/>
          <w:lang w:val="en-US" w:eastAsia="zh-CN"/>
        </w:rPr>
        <w:t>11</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26</w:t>
      </w:r>
      <w:r>
        <w:rPr>
          <w:rFonts w:hint="eastAsia" w:ascii="Times New Roman" w:hAnsi="Times New Roman" w:eastAsia="仿宋_GB2312" w:cs="Times New Roman"/>
          <w:color w:val="000000"/>
          <w:szCs w:val="32"/>
          <w:highlight w:val="none"/>
        </w:rPr>
        <w:t>日</w:t>
      </w:r>
      <w:r>
        <w:rPr>
          <w:rFonts w:hint="eastAsia" w:eastAsia="仿宋_GB2312" w:cs="Times New Roman"/>
          <w:color w:val="000000"/>
          <w:szCs w:val="32"/>
          <w:highlight w:val="none"/>
          <w:lang w:val="en-US" w:eastAsia="zh-CN"/>
        </w:rPr>
        <w:t>16</w:t>
      </w:r>
      <w:r>
        <w:rPr>
          <w:rFonts w:hint="eastAsia" w:ascii="Times New Roman" w:hAnsi="Times New Roman" w:eastAsia="仿宋_GB2312" w:cs="Times New Roman"/>
          <w:color w:val="000000"/>
          <w:szCs w:val="32"/>
          <w:highlight w:val="none"/>
        </w:rPr>
        <w:t>:00，在巴州政务服务和公共资源交易中心交易大厅（巴州住建大厦5楼</w:t>
      </w:r>
      <w:r>
        <w:rPr>
          <w:rFonts w:hint="eastAsia" w:ascii="Times New Roman" w:hAnsi="Times New Roman" w:eastAsia="仿宋_GB2312" w:cs="Times New Roman"/>
          <w:color w:val="000000"/>
          <w:szCs w:val="32"/>
          <w:highlight w:val="none"/>
          <w:lang w:val="en-US" w:eastAsia="zh-CN"/>
        </w:rPr>
        <w:t>7标室</w:t>
      </w:r>
      <w:r>
        <w:rPr>
          <w:rFonts w:hint="eastAsia" w:ascii="Times New Roman" w:hAnsi="Times New Roman" w:eastAsia="仿宋_GB2312" w:cs="Times New Roman"/>
          <w:color w:val="000000"/>
          <w:szCs w:val="32"/>
          <w:highlight w:val="none"/>
        </w:rPr>
        <w:t>）。</w:t>
      </w:r>
    </w:p>
    <w:p w14:paraId="600ECFA0">
      <w:pPr>
        <w:pStyle w:val="3"/>
        <w:spacing w:before="0" w:after="0" w:line="560" w:lineRule="exact"/>
        <w:ind w:firstLine="640" w:firstLineChars="200"/>
        <w:jc w:val="both"/>
        <w:rPr>
          <w:rFonts w:ascii="Times New Roman" w:hAnsi="Times New Roman"/>
          <w:b w:val="0"/>
          <w:bCs w:val="0"/>
          <w:color w:val="000000"/>
          <w:sz w:val="32"/>
          <w:szCs w:val="32"/>
        </w:rPr>
      </w:pPr>
      <w:r>
        <w:rPr>
          <w:rFonts w:hint="eastAsia" w:ascii="Times New Roman" w:hAnsi="Times New Roman"/>
          <w:b w:val="0"/>
          <w:bCs w:val="0"/>
          <w:color w:val="000000"/>
          <w:sz w:val="32"/>
          <w:szCs w:val="32"/>
          <w:lang w:val="en-US" w:eastAsia="zh-CN"/>
        </w:rPr>
        <w:t>五</w:t>
      </w:r>
      <w:r>
        <w:rPr>
          <w:rFonts w:ascii="Times New Roman" w:hAnsi="Times New Roman"/>
          <w:b w:val="0"/>
          <w:bCs w:val="0"/>
          <w:color w:val="000000"/>
          <w:sz w:val="32"/>
          <w:szCs w:val="32"/>
        </w:rPr>
        <w:t>、报名、资格审查</w:t>
      </w:r>
    </w:p>
    <w:p w14:paraId="173C9F77">
      <w:pPr>
        <w:spacing w:line="560" w:lineRule="exact"/>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(一)报名申请</w:t>
      </w:r>
    </w:p>
    <w:p w14:paraId="6FA427B9">
      <w:pPr>
        <w:pStyle w:val="6"/>
        <w:keepNext w:val="0"/>
        <w:keepLines w:val="0"/>
        <w:pageBreakBefore w:val="0"/>
        <w:widowControl w:val="0"/>
        <w:kinsoku/>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报名资料包括：</w:t>
      </w:r>
    </w:p>
    <w:p w14:paraId="13DF72EC">
      <w:pPr>
        <w:keepNext w:val="0"/>
        <w:keepLines w:val="0"/>
        <w:pageBreakBefore w:val="0"/>
        <w:widowControl w:val="0"/>
        <w:kinsoku/>
        <w:wordWrap w:val="0"/>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1、</w:t>
      </w:r>
      <w:r>
        <w:rPr>
          <w:rFonts w:hint="default" w:ascii="Times New Roman" w:hAnsi="Times New Roman" w:eastAsia="仿宋_GB2312" w:cs="Times New Roman"/>
          <w:color w:val="000000"/>
          <w:szCs w:val="32"/>
          <w:highlight w:val="none"/>
        </w:rPr>
        <w:t>国有建设用地使用权竞买申请书；</w:t>
      </w:r>
    </w:p>
    <w:p w14:paraId="5821EA9B">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2、</w:t>
      </w:r>
      <w:r>
        <w:rPr>
          <w:rFonts w:hint="default" w:ascii="Times New Roman" w:hAnsi="Times New Roman" w:eastAsia="仿宋_GB2312" w:cs="Times New Roman"/>
          <w:color w:val="000000"/>
          <w:szCs w:val="32"/>
          <w:highlight w:val="none"/>
        </w:rPr>
        <w:t>统一社会信用代码的营业执照（法人组织）或申请人有效身份证明文件（自然人）；</w:t>
      </w:r>
    </w:p>
    <w:p w14:paraId="02F1EC7E">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3、</w:t>
      </w:r>
      <w:r>
        <w:rPr>
          <w:rFonts w:hint="default" w:ascii="Times New Roman" w:hAnsi="Times New Roman" w:eastAsia="仿宋_GB2312" w:cs="Times New Roman"/>
          <w:color w:val="000000"/>
          <w:szCs w:val="32"/>
          <w:highlight w:val="none"/>
        </w:rPr>
        <w:t>法定代表人身份证明及身份证复印件；</w:t>
      </w:r>
    </w:p>
    <w:p w14:paraId="1D24E632">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4、</w:t>
      </w:r>
      <w:r>
        <w:rPr>
          <w:rFonts w:hint="default" w:ascii="Times New Roman" w:hAnsi="Times New Roman" w:eastAsia="仿宋_GB2312" w:cs="Times New Roman"/>
          <w:color w:val="000000"/>
          <w:szCs w:val="32"/>
          <w:highlight w:val="none"/>
        </w:rPr>
        <w:t>授权委托书及委托代理人身份证明；</w:t>
      </w:r>
    </w:p>
    <w:p w14:paraId="7E4E6781">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5、</w:t>
      </w:r>
      <w:r>
        <w:rPr>
          <w:rFonts w:hint="default" w:ascii="Times New Roman" w:hAnsi="Times New Roman" w:eastAsia="仿宋_GB2312" w:cs="Times New Roman"/>
          <w:color w:val="000000"/>
          <w:szCs w:val="32"/>
          <w:highlight w:val="none"/>
        </w:rPr>
        <w:t>银行开户许可证或基本存款账户信息；</w:t>
      </w:r>
    </w:p>
    <w:p w14:paraId="6365EF0C">
      <w:pPr>
        <w:spacing w:line="600" w:lineRule="exact"/>
        <w:ind w:firstLine="640" w:firstLineChars="200"/>
        <w:rPr>
          <w:rFonts w:hint="default"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6、</w:t>
      </w:r>
      <w:r>
        <w:rPr>
          <w:rFonts w:hint="eastAsia" w:ascii="仿宋_GB2312" w:hAnsi="新宋体" w:eastAsia="仿宋_GB2312"/>
          <w:sz w:val="32"/>
          <w:szCs w:val="32"/>
        </w:rPr>
        <w:t>竞买保证金不属于银行贷款、股东借款、转贷和募集资金的承诺书及商业金融机构出具的资信证明</w:t>
      </w:r>
      <w:r>
        <w:rPr>
          <w:rFonts w:hint="eastAsia" w:ascii="仿宋_GB2312" w:hAnsi="新宋体" w:eastAsia="仿宋_GB2312"/>
          <w:sz w:val="32"/>
          <w:szCs w:val="32"/>
          <w:highlight w:val="none"/>
        </w:rPr>
        <w:t>(暨：竞买人账户存款余额应不少于该宗地挂牌起始价的50％)</w:t>
      </w:r>
      <w:r>
        <w:rPr>
          <w:rFonts w:hint="eastAsia" w:ascii="仿宋_GB2312" w:hAnsi="新宋体" w:eastAsia="仿宋_GB2312"/>
          <w:sz w:val="32"/>
          <w:szCs w:val="32"/>
        </w:rPr>
        <w:t>。</w:t>
      </w:r>
    </w:p>
    <w:p w14:paraId="7689C47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7、</w:t>
      </w:r>
      <w:r>
        <w:rPr>
          <w:rFonts w:hint="default" w:ascii="Times New Roman" w:hAnsi="Times New Roman" w:eastAsia="仿宋_GB2312" w:cs="Times New Roman"/>
          <w:color w:val="000000"/>
          <w:szCs w:val="32"/>
          <w:highlight w:val="none"/>
        </w:rPr>
        <w:t>保证金到账凭证；</w:t>
      </w:r>
    </w:p>
    <w:p w14:paraId="4BC73C42">
      <w:pPr>
        <w:spacing w:line="600" w:lineRule="exact"/>
        <w:ind w:firstLine="640" w:firstLineChars="200"/>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8、</w:t>
      </w:r>
      <w:r>
        <w:rPr>
          <w:rFonts w:hint="eastAsia" w:ascii="仿宋_GB2312" w:hAnsi="新宋体" w:eastAsia="仿宋_GB2312"/>
          <w:sz w:val="32"/>
          <w:szCs w:val="32"/>
        </w:rPr>
        <w:t>联合申请的需提供联合竞买协议，协议要明确联合各方的权利、义务和《国有建设用地使用权出让合同》时的受让人；</w:t>
      </w:r>
    </w:p>
    <w:p w14:paraId="5B60CBD5">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9、</w:t>
      </w:r>
      <w:r>
        <w:rPr>
          <w:rFonts w:hint="default" w:ascii="仿宋_GB2312" w:hAnsi="新宋体" w:eastAsia="仿宋_GB2312"/>
          <w:sz w:val="32"/>
          <w:szCs w:val="32"/>
        </w:rPr>
        <w:t>竞买申请人需提供在</w:t>
      </w:r>
      <w:r>
        <w:rPr>
          <w:rFonts w:hint="eastAsia" w:ascii="仿宋_GB2312" w:hAnsi="新宋体" w:eastAsia="仿宋_GB2312"/>
          <w:sz w:val="32"/>
          <w:szCs w:val="32"/>
        </w:rPr>
        <w:t>“</w:t>
      </w:r>
      <w:r>
        <w:rPr>
          <w:rFonts w:hint="default" w:ascii="仿宋_GB2312" w:hAnsi="新宋体" w:eastAsia="仿宋_GB2312"/>
          <w:sz w:val="32"/>
          <w:szCs w:val="32"/>
        </w:rPr>
        <w:t>国家企业信用信息公示系统”、“信用中国”、“中国执行信息公开网”相关资料</w:t>
      </w:r>
      <w:r>
        <w:rPr>
          <w:rFonts w:hint="default" w:ascii="Times New Roman" w:hAnsi="Times New Roman" w:eastAsia="仿宋_GB2312" w:cs="Times New Roman"/>
          <w:color w:val="000000"/>
          <w:szCs w:val="32"/>
          <w:highlight w:val="none"/>
        </w:rPr>
        <w:t>；</w:t>
      </w:r>
    </w:p>
    <w:p w14:paraId="030161FA">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《国有建设用地使用权竞买申请书》分为企业申请和个人申请两种；无委托代理人的无须提交第4项材料（提交的报名材料需加盖公章一式两份）。</w:t>
      </w:r>
    </w:p>
    <w:p w14:paraId="3CC52070">
      <w:pPr>
        <w:spacing w:line="560" w:lineRule="exact"/>
        <w:ind w:firstLine="643"/>
        <w:rPr>
          <w:rFonts w:hint="eastAsia" w:ascii="楷体" w:hAnsi="楷体" w:eastAsia="楷体" w:cs="楷体"/>
          <w:b/>
          <w:bCs/>
          <w:color w:val="000000"/>
          <w:szCs w:val="32"/>
        </w:rPr>
      </w:pPr>
      <w:r>
        <w:rPr>
          <w:rFonts w:hint="eastAsia" w:ascii="楷体" w:hAnsi="楷体" w:eastAsia="楷体" w:cs="楷体"/>
          <w:b/>
          <w:bCs/>
          <w:color w:val="000000"/>
          <w:szCs w:val="32"/>
        </w:rPr>
        <w:t>（</w:t>
      </w:r>
      <w:r>
        <w:rPr>
          <w:rFonts w:hint="eastAsia" w:ascii="楷体" w:hAnsi="楷体" w:eastAsia="楷体" w:cs="楷体"/>
          <w:b/>
          <w:bCs/>
          <w:color w:val="000000"/>
          <w:szCs w:val="32"/>
          <w:lang w:val="en-US" w:eastAsia="zh-CN"/>
        </w:rPr>
        <w:t>二</w:t>
      </w:r>
      <w:r>
        <w:rPr>
          <w:rFonts w:hint="eastAsia" w:ascii="楷体" w:hAnsi="楷体" w:eastAsia="楷体" w:cs="楷体"/>
          <w:b/>
          <w:bCs/>
          <w:color w:val="000000"/>
          <w:szCs w:val="32"/>
        </w:rPr>
        <w:t>）资质审查</w:t>
      </w:r>
    </w:p>
    <w:p w14:paraId="7C02A57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bookmarkStart w:id="9" w:name="_Toc37108517"/>
      <w:bookmarkEnd w:id="9"/>
      <w:r>
        <w:rPr>
          <w:rFonts w:hint="eastAsia" w:ascii="Times New Roman" w:hAnsi="Times New Roman" w:eastAsia="仿宋_GB2312" w:cs="Times New Roman"/>
          <w:color w:val="000000"/>
          <w:szCs w:val="32"/>
          <w:highlight w:val="none"/>
        </w:rPr>
        <w:t>竞买</w:t>
      </w:r>
      <w:r>
        <w:rPr>
          <w:rFonts w:hint="eastAsia" w:eastAsia="仿宋_GB2312" w:cs="Times New Roman"/>
          <w:color w:val="000000"/>
          <w:szCs w:val="32"/>
          <w:highlight w:val="none"/>
          <w:lang w:val="en-US" w:eastAsia="zh-CN"/>
        </w:rPr>
        <w:t>申请人</w:t>
      </w:r>
      <w:r>
        <w:rPr>
          <w:rFonts w:hint="eastAsia" w:ascii="Times New Roman" w:hAnsi="Times New Roman" w:eastAsia="仿宋_GB2312" w:cs="Times New Roman"/>
          <w:color w:val="000000"/>
          <w:szCs w:val="32"/>
          <w:highlight w:val="none"/>
        </w:rPr>
        <w:t>按要求提交报名材料，</w:t>
      </w:r>
      <w:r>
        <w:rPr>
          <w:rFonts w:hint="eastAsia" w:eastAsia="仿宋_GB2312" w:cs="Times New Roman"/>
          <w:color w:val="000000"/>
          <w:szCs w:val="32"/>
          <w:highlight w:val="none"/>
          <w:lang w:val="en-US" w:eastAsia="zh-CN"/>
        </w:rPr>
        <w:t>经</w:t>
      </w:r>
      <w:r>
        <w:rPr>
          <w:rFonts w:hint="eastAsia" w:ascii="Times New Roman" w:hAnsi="Times New Roman" w:eastAsia="仿宋_GB2312" w:cs="Times New Roman"/>
          <w:color w:val="000000"/>
          <w:szCs w:val="32"/>
          <w:highlight w:val="none"/>
        </w:rPr>
        <w:t>资质审查通过后</w:t>
      </w:r>
      <w:r>
        <w:rPr>
          <w:rFonts w:hint="eastAsia" w:eastAsia="仿宋_GB2312" w:cs="Times New Roman"/>
          <w:color w:val="000000"/>
          <w:szCs w:val="32"/>
          <w:highlight w:val="none"/>
          <w:lang w:val="en-US" w:eastAsia="zh-CN"/>
        </w:rPr>
        <w:t>缴纳竞买保证金</w:t>
      </w:r>
      <w:r>
        <w:rPr>
          <w:rFonts w:hint="eastAsia" w:ascii="Times New Roman" w:hAnsi="Times New Roman" w:eastAsia="仿宋_GB2312" w:cs="Times New Roman"/>
          <w:color w:val="000000"/>
          <w:szCs w:val="32"/>
          <w:highlight w:val="none"/>
        </w:rPr>
        <w:t>，保证金到账后</w:t>
      </w:r>
      <w:r>
        <w:rPr>
          <w:rFonts w:hint="eastAsia" w:eastAsia="仿宋_GB2312" w:cs="Times New Roman"/>
          <w:color w:val="000000"/>
          <w:szCs w:val="32"/>
          <w:highlight w:val="none"/>
          <w:lang w:val="en-US" w:eastAsia="zh-CN"/>
        </w:rPr>
        <w:t>挂牌人</w:t>
      </w:r>
      <w:r>
        <w:rPr>
          <w:rFonts w:hint="eastAsia" w:ascii="Times New Roman" w:hAnsi="Times New Roman" w:eastAsia="仿宋_GB2312" w:cs="Times New Roman"/>
          <w:color w:val="000000"/>
          <w:szCs w:val="32"/>
          <w:highlight w:val="none"/>
        </w:rPr>
        <w:t>确认其竞买资格。具有下列情形之一的，为无效申请，挂牌人不予受理：</w:t>
      </w:r>
    </w:p>
    <w:p w14:paraId="1E57532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rPr>
        <w:t>不符合竞买人资格要求</w:t>
      </w:r>
      <w:r>
        <w:rPr>
          <w:rFonts w:hint="eastAsia" w:eastAsia="仿宋_GB2312" w:cs="Times New Roman"/>
          <w:color w:val="000000"/>
          <w:szCs w:val="32"/>
          <w:highlight w:val="none"/>
          <w:lang w:val="en-US" w:eastAsia="zh-CN"/>
        </w:rPr>
        <w:t>的</w:t>
      </w:r>
      <w:r>
        <w:rPr>
          <w:rFonts w:hint="eastAsia" w:ascii="Times New Roman" w:hAnsi="Times New Roman" w:eastAsia="仿宋_GB2312" w:cs="Times New Roman"/>
          <w:color w:val="000000"/>
          <w:szCs w:val="32"/>
          <w:highlight w:val="none"/>
        </w:rPr>
        <w:t>；</w:t>
      </w:r>
    </w:p>
    <w:p w14:paraId="08271603">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报名材料逾期提交或未按规定的要求和格式填写的；</w:t>
      </w:r>
    </w:p>
    <w:p w14:paraId="19593431">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rPr>
        <w:t>缺少单位盖章的；</w:t>
      </w:r>
    </w:p>
    <w:p w14:paraId="48CBD5DA">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eastAsia="仿宋_GB2312"/>
          <w:lang w:val="en-US" w:eastAsia="zh-CN"/>
        </w:rPr>
      </w:pPr>
      <w:r>
        <w:rPr>
          <w:rFonts w:hint="eastAsia" w:ascii="Times New Roman" w:hAnsi="Times New Roman"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内容不完整或关键信息字迹模糊、无法辨认的。</w:t>
      </w:r>
    </w:p>
    <w:p w14:paraId="08F0FC1A">
      <w:pPr>
        <w:spacing w:line="560" w:lineRule="exact"/>
        <w:ind w:firstLine="643"/>
        <w:rPr>
          <w:rFonts w:hint="eastAsia" w:ascii="楷体" w:hAnsi="楷体" w:eastAsia="楷体" w:cs="楷体"/>
          <w:b/>
          <w:bCs/>
          <w:color w:val="000000"/>
          <w:szCs w:val="32"/>
          <w:lang w:val="en-US" w:eastAsia="zh-CN"/>
        </w:rPr>
      </w:pPr>
      <w:r>
        <w:rPr>
          <w:rFonts w:hint="eastAsia" w:ascii="楷体" w:hAnsi="楷体" w:eastAsia="楷体" w:cs="楷体"/>
          <w:b/>
          <w:bCs/>
          <w:color w:val="000000"/>
          <w:szCs w:val="32"/>
          <w:lang w:val="en-US" w:eastAsia="zh-CN"/>
        </w:rPr>
        <w:t>（三）保证金缴纳及注意事项</w:t>
      </w:r>
    </w:p>
    <w:p w14:paraId="7CF3B866">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申请人应于报名期限内</w:t>
      </w:r>
      <w:r>
        <w:rPr>
          <w:rFonts w:hint="eastAsia" w:eastAsia="仿宋_GB2312" w:cs="Times New Roman"/>
          <w:color w:val="000000"/>
          <w:szCs w:val="32"/>
          <w:highlight w:val="none"/>
          <w:lang w:val="en-US" w:eastAsia="zh-CN"/>
        </w:rPr>
        <w:t>缴</w:t>
      </w:r>
      <w:r>
        <w:rPr>
          <w:rFonts w:hint="eastAsia" w:ascii="Times New Roman" w:hAnsi="Times New Roman" w:eastAsia="仿宋_GB2312" w:cs="Times New Roman"/>
          <w:color w:val="000000"/>
          <w:szCs w:val="32"/>
          <w:highlight w:val="none"/>
        </w:rPr>
        <w:t>纳竞买保证金，竞买保证金</w:t>
      </w:r>
      <w:r>
        <w:rPr>
          <w:rFonts w:hint="eastAsia" w:eastAsia="仿宋_GB2312" w:cs="Times New Roman"/>
          <w:color w:val="000000"/>
          <w:szCs w:val="32"/>
          <w:highlight w:val="none"/>
          <w:lang w:val="en-US" w:eastAsia="zh-CN"/>
        </w:rPr>
        <w:t>缴</w:t>
      </w:r>
      <w:r>
        <w:rPr>
          <w:rFonts w:hint="eastAsia" w:ascii="Times New Roman" w:hAnsi="Times New Roman" w:eastAsia="仿宋_GB2312" w:cs="Times New Roman"/>
          <w:color w:val="000000"/>
          <w:szCs w:val="32"/>
          <w:highlight w:val="none"/>
        </w:rPr>
        <w:t>纳时间以银行确认的到账时间为准，保证金未按时到账的，不予受理报名。保证金</w:t>
      </w:r>
      <w:r>
        <w:rPr>
          <w:rFonts w:hint="eastAsia" w:eastAsia="仿宋_GB2312" w:cs="Times New Roman"/>
          <w:color w:val="000000"/>
          <w:szCs w:val="32"/>
          <w:highlight w:val="none"/>
          <w:lang w:val="en-US" w:eastAsia="zh-CN"/>
        </w:rPr>
        <w:t>缴纳</w:t>
      </w:r>
      <w:r>
        <w:rPr>
          <w:rFonts w:hint="eastAsia" w:ascii="Times New Roman" w:hAnsi="Times New Roman" w:eastAsia="仿宋_GB2312" w:cs="Times New Roman"/>
          <w:color w:val="000000"/>
          <w:szCs w:val="32"/>
          <w:highlight w:val="none"/>
        </w:rPr>
        <w:t>银行账户名称必须与报名单位名称一致</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保证金只接受银行转账或电汇方式，不接受现金或现金汇款。</w:t>
      </w:r>
    </w:p>
    <w:p w14:paraId="14EC3627">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保证金缴纳截止时间：报名截止日1</w:t>
      </w:r>
      <w:r>
        <w:rPr>
          <w:rFonts w:hint="eastAsia" w:eastAsia="仿宋_GB2312" w:cs="Times New Roman"/>
          <w:color w:val="000000"/>
          <w:szCs w:val="32"/>
          <w:highlight w:val="none"/>
          <w:lang w:val="en-US" w:eastAsia="zh-CN"/>
        </w:rPr>
        <w:t>8</w:t>
      </w:r>
      <w:r>
        <w:rPr>
          <w:rFonts w:hint="eastAsia" w:ascii="Times New Roman" w:hAnsi="Times New Roman" w:eastAsia="仿宋_GB2312" w:cs="Times New Roman"/>
          <w:color w:val="000000"/>
          <w:szCs w:val="32"/>
          <w:highlight w:val="none"/>
        </w:rPr>
        <w:t>:00前到账。</w:t>
      </w:r>
    </w:p>
    <w:p w14:paraId="09A011F2">
      <w:pPr>
        <w:pStyle w:val="6"/>
        <w:keepNext w:val="0"/>
        <w:keepLines w:val="0"/>
        <w:pageBreakBefore w:val="0"/>
        <w:widowControl w:val="0"/>
        <w:kinsoku/>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3、竞买保证金由申请人自行支付，不得代交。为避免因竞买保证金到账时间延误，影响申请人顺利获取交易竞买资格，建议申请人在报名期限截止1日前缴纳竞买保证金。</w:t>
      </w:r>
    </w:p>
    <w:p w14:paraId="12138DA1">
      <w:pPr>
        <w:pStyle w:val="3"/>
        <w:spacing w:before="0" w:after="0" w:line="560" w:lineRule="exact"/>
        <w:ind w:firstLine="640" w:firstLineChars="200"/>
        <w:jc w:val="both"/>
        <w:rPr>
          <w:rFonts w:hint="eastAsia" w:ascii="Times New Roman" w:hAnsi="Times New Roman"/>
          <w:b w:val="0"/>
          <w:bCs w:val="0"/>
          <w:color w:val="000000"/>
          <w:sz w:val="32"/>
          <w:szCs w:val="32"/>
          <w:lang w:val="en-US" w:eastAsia="zh-CN"/>
        </w:rPr>
      </w:pPr>
      <w:r>
        <w:rPr>
          <w:rFonts w:hint="eastAsia" w:ascii="Times New Roman" w:hAnsi="Times New Roman"/>
          <w:b w:val="0"/>
          <w:bCs w:val="0"/>
          <w:color w:val="000000"/>
          <w:sz w:val="32"/>
          <w:szCs w:val="32"/>
          <w:lang w:val="en-US" w:eastAsia="zh-CN"/>
        </w:rPr>
        <w:t>六、挂牌交易</w:t>
      </w:r>
    </w:p>
    <w:p w14:paraId="013FC98E">
      <w:pPr>
        <w:pStyle w:val="3"/>
        <w:spacing w:before="0" w:after="0" w:line="560" w:lineRule="exact"/>
        <w:ind w:firstLine="643"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w:t>
      </w:r>
      <w:r>
        <w:rPr>
          <w:rFonts w:hint="eastAsia" w:ascii="楷体" w:hAnsi="楷体" w:eastAsia="楷体" w:cs="楷体"/>
          <w:color w:val="000000"/>
          <w:sz w:val="32"/>
          <w:szCs w:val="32"/>
          <w:lang w:val="en-US" w:eastAsia="zh-CN"/>
        </w:rPr>
        <w:t>报</w:t>
      </w:r>
      <w:r>
        <w:rPr>
          <w:rFonts w:hint="eastAsia" w:ascii="楷体" w:hAnsi="楷体" w:eastAsia="楷体" w:cs="楷体"/>
          <w:color w:val="000000"/>
          <w:sz w:val="32"/>
          <w:szCs w:val="32"/>
        </w:rPr>
        <w:t>价程序及规则</w:t>
      </w:r>
    </w:p>
    <w:p w14:paraId="045D893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000000"/>
          <w:szCs w:val="32"/>
          <w:highlight w:val="none"/>
          <w:lang w:val="en-US" w:eastAsia="zh-CN"/>
        </w:rPr>
      </w:pPr>
      <w:bookmarkStart w:id="10" w:name="_Toc2710"/>
      <w:bookmarkEnd w:id="10"/>
      <w:r>
        <w:rPr>
          <w:rFonts w:hint="eastAsia" w:ascii="Times New Roman" w:hAnsi="Times New Roman" w:eastAsia="仿宋_GB2312" w:cs="Times New Roman"/>
          <w:color w:val="000000"/>
          <w:szCs w:val="32"/>
          <w:highlight w:val="none"/>
          <w:lang w:val="en-US" w:eastAsia="zh-CN"/>
        </w:rPr>
        <w:t>按照价高者得原则确定竞得人，不低于起始价的最高报价者为竞得人。无人报价或者竞买人报价低于起始价的，不成交。</w:t>
      </w:r>
    </w:p>
    <w:p w14:paraId="62F25C49">
      <w:pPr>
        <w:pStyle w:val="6"/>
        <w:keepNext w:val="0"/>
        <w:keepLines w:val="0"/>
        <w:pageBreakBefore w:val="0"/>
        <w:widowControl w:val="0"/>
        <w:kinsoku/>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报价程序及规则详见本文件第二章挂牌报价规则。</w:t>
      </w:r>
    </w:p>
    <w:p w14:paraId="428552B5">
      <w:pPr>
        <w:spacing w:line="560" w:lineRule="exact"/>
        <w:ind w:firstLine="643"/>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（二）</w:t>
      </w:r>
      <w:r>
        <w:rPr>
          <w:rFonts w:hint="eastAsia" w:ascii="楷体" w:hAnsi="楷体" w:eastAsia="楷体" w:cs="楷体"/>
          <w:b/>
          <w:bCs/>
          <w:color w:val="000000"/>
          <w:szCs w:val="32"/>
        </w:rPr>
        <w:t>签订《成交确认书》</w:t>
      </w:r>
    </w:p>
    <w:p w14:paraId="6BFA6BDF">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确定竞得人后，竞得人与</w:t>
      </w:r>
      <w:r>
        <w:rPr>
          <w:rFonts w:hint="eastAsia" w:ascii="Times New Roman" w:hAnsi="Times New Roman" w:eastAsia="仿宋_GB2312" w:cs="Times New Roman"/>
          <w:color w:val="000000"/>
          <w:szCs w:val="32"/>
          <w:highlight w:val="none"/>
          <w:lang w:val="en-US" w:eastAsia="zh-CN"/>
        </w:rPr>
        <w:t>挂牌人</w:t>
      </w:r>
      <w:r>
        <w:rPr>
          <w:rFonts w:hint="eastAsia" w:eastAsia="仿宋_GB2312" w:cs="Times New Roman"/>
          <w:color w:val="000000"/>
          <w:szCs w:val="32"/>
          <w:highlight w:val="none"/>
          <w:lang w:val="en-US" w:eastAsia="zh-CN"/>
        </w:rPr>
        <w:t>当场</w:t>
      </w:r>
      <w:r>
        <w:rPr>
          <w:rFonts w:hint="eastAsia" w:ascii="Times New Roman" w:hAnsi="Times New Roman" w:eastAsia="仿宋_GB2312" w:cs="Times New Roman"/>
          <w:color w:val="000000"/>
          <w:szCs w:val="32"/>
          <w:highlight w:val="none"/>
        </w:rPr>
        <w:t>签订《成交确认书》。委托他人代签的，应提交法定代表人亲笔签名</w:t>
      </w:r>
      <w:r>
        <w:rPr>
          <w:rFonts w:hint="eastAsia" w:eastAsia="仿宋_GB2312" w:cs="Times New Roman"/>
          <w:color w:val="000000"/>
          <w:szCs w:val="32"/>
          <w:highlight w:val="none"/>
          <w:lang w:val="en-US" w:eastAsia="zh-CN"/>
        </w:rPr>
        <w:t>并加盖公章的授权委托书</w:t>
      </w:r>
      <w:r>
        <w:rPr>
          <w:rFonts w:hint="eastAsia" w:ascii="Times New Roman" w:hAnsi="Times New Roman" w:eastAsia="仿宋_GB2312" w:cs="Times New Roman"/>
          <w:color w:val="000000"/>
          <w:szCs w:val="32"/>
          <w:highlight w:val="none"/>
        </w:rPr>
        <w:t>。《成交确认书》签订后，竞得人须在公示期结束后持《成交确认书》按要求与出让人签订《出让合同》。</w:t>
      </w:r>
    </w:p>
    <w:p w14:paraId="6C17F827">
      <w:pPr>
        <w:pStyle w:val="3"/>
        <w:spacing w:before="0" w:after="0" w:line="560" w:lineRule="exact"/>
        <w:ind w:firstLine="640" w:firstLineChars="200"/>
        <w:rPr>
          <w:rFonts w:ascii="Times New Roman" w:hAnsi="Times New Roman"/>
          <w:b w:val="0"/>
          <w:bCs w:val="0"/>
          <w:color w:val="000000"/>
          <w:sz w:val="32"/>
          <w:szCs w:val="32"/>
        </w:rPr>
      </w:pPr>
      <w:r>
        <w:rPr>
          <w:rFonts w:hint="eastAsia" w:ascii="Times New Roman" w:hAnsi="Times New Roman"/>
          <w:b w:val="0"/>
          <w:bCs w:val="0"/>
          <w:color w:val="000000"/>
          <w:sz w:val="32"/>
          <w:szCs w:val="32"/>
          <w:lang w:val="en-US" w:eastAsia="zh-CN"/>
        </w:rPr>
        <w:t>七</w:t>
      </w:r>
      <w:r>
        <w:rPr>
          <w:rFonts w:ascii="Times New Roman" w:hAnsi="Times New Roman"/>
          <w:b w:val="0"/>
          <w:bCs w:val="0"/>
          <w:color w:val="000000"/>
          <w:sz w:val="32"/>
          <w:szCs w:val="32"/>
        </w:rPr>
        <w:t>、挂牌结果公示</w:t>
      </w:r>
    </w:p>
    <w:p w14:paraId="6768FD1F">
      <w:pPr>
        <w:pageBreakBefore w:val="0"/>
        <w:kinsoku/>
        <w:wordWrap/>
        <w:overflowPunct/>
        <w:topLinePunct w:val="0"/>
        <w:autoSpaceDE/>
        <w:autoSpaceDN/>
        <w:bidi w:val="0"/>
        <w:snapToGrid/>
        <w:spacing w:line="560" w:lineRule="exact"/>
        <w:ind w:left="0" w:leftChars="0"/>
        <w:textAlignment w:val="auto"/>
        <w:rPr>
          <w:rFonts w:hint="default"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挂牌出让活动结束后</w:t>
      </w:r>
      <w:r>
        <w:rPr>
          <w:rFonts w:hint="default" w:ascii="Times New Roman" w:hAnsi="Times New Roman" w:eastAsia="仿宋_GB2312" w:cs="Times New Roman"/>
          <w:color w:val="000000"/>
          <w:szCs w:val="32"/>
          <w:highlight w:val="none"/>
          <w:lang w:val="en-US" w:eastAsia="zh-CN"/>
        </w:rPr>
        <w:t>5</w:t>
      </w:r>
      <w:r>
        <w:rPr>
          <w:rFonts w:hint="eastAsia" w:eastAsia="仿宋_GB2312" w:cs="Times New Roman"/>
          <w:color w:val="000000"/>
          <w:szCs w:val="32"/>
          <w:highlight w:val="none"/>
          <w:lang w:val="en-US" w:eastAsia="zh-CN"/>
        </w:rPr>
        <w:t>个工作</w:t>
      </w:r>
      <w:r>
        <w:rPr>
          <w:rFonts w:hint="default" w:ascii="Times New Roman" w:hAnsi="Times New Roman" w:eastAsia="仿宋_GB2312" w:cs="Times New Roman"/>
          <w:color w:val="000000"/>
          <w:szCs w:val="32"/>
          <w:highlight w:val="none"/>
          <w:lang w:val="en-US" w:eastAsia="zh-CN"/>
        </w:rPr>
        <w:t>日内</w:t>
      </w:r>
      <w:r>
        <w:rPr>
          <w:rFonts w:hint="eastAsia" w:eastAsia="仿宋_GB2312" w:cs="Times New Roman"/>
          <w:color w:val="000000"/>
          <w:szCs w:val="32"/>
          <w:highlight w:val="none"/>
          <w:lang w:val="en-US" w:eastAsia="zh-CN"/>
        </w:rPr>
        <w:t>，</w:t>
      </w:r>
      <w:r>
        <w:rPr>
          <w:rFonts w:hint="default" w:ascii="Times New Roman" w:hAnsi="Times New Roman" w:eastAsia="仿宋_GB2312" w:cs="Times New Roman"/>
          <w:color w:val="000000"/>
          <w:szCs w:val="32"/>
          <w:highlight w:val="none"/>
          <w:lang w:val="en-US" w:eastAsia="zh-CN"/>
        </w:rPr>
        <w:t>在</w:t>
      </w:r>
      <w:r>
        <w:rPr>
          <w:rFonts w:hint="eastAsia" w:eastAsia="仿宋_GB2312" w:cs="Times New Roman"/>
          <w:color w:val="000000"/>
          <w:szCs w:val="32"/>
          <w:highlight w:val="none"/>
          <w:lang w:val="en-US" w:eastAsia="zh-CN"/>
        </w:rPr>
        <w:t>中国土地市场网</w:t>
      </w:r>
      <w:r>
        <w:rPr>
          <w:rFonts w:hint="default" w:ascii="Times New Roman" w:hAnsi="Times New Roman" w:eastAsia="仿宋_GB2312" w:cs="Times New Roman"/>
          <w:color w:val="000000"/>
          <w:szCs w:val="32"/>
          <w:highlight w:val="none"/>
          <w:lang w:val="en-US" w:eastAsia="zh-CN"/>
        </w:rPr>
        <w:t>、</w:t>
      </w:r>
      <w:r>
        <w:rPr>
          <w:rFonts w:hint="eastAsia" w:ascii="Times New Roman" w:hAnsi="Times New Roman" w:eastAsia="仿宋_GB2312" w:cs="Times New Roman"/>
          <w:color w:val="000000"/>
          <w:szCs w:val="32"/>
          <w:highlight w:val="none"/>
          <w:lang w:val="en-US" w:eastAsia="zh-CN"/>
        </w:rPr>
        <w:t>巴州公共资源交易网</w:t>
      </w:r>
      <w:r>
        <w:rPr>
          <w:rFonts w:hint="eastAsia" w:eastAsia="仿宋_GB2312" w:cs="Times New Roman"/>
          <w:color w:val="000000"/>
          <w:szCs w:val="32"/>
          <w:highlight w:val="none"/>
          <w:lang w:val="en-US" w:eastAsia="zh-CN"/>
        </w:rPr>
        <w:t>发布本次国有建设用地使用权挂牌出让结果公示。</w:t>
      </w:r>
    </w:p>
    <w:p w14:paraId="193D8A6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b w:val="0"/>
          <w:bCs w:val="0"/>
          <w:spacing w:val="0"/>
          <w:sz w:val="32"/>
          <w:szCs w:val="32"/>
          <w:lang w:val="en-US" w:eastAsia="zh-CN"/>
        </w:rPr>
      </w:pPr>
      <w:r>
        <w:rPr>
          <w:rFonts w:hint="eastAsia" w:ascii="Times New Roman" w:hAnsi="Times New Roman" w:eastAsia="黑体" w:cs="黑体"/>
          <w:b w:val="0"/>
          <w:bCs w:val="0"/>
          <w:color w:val="000000"/>
          <w:kern w:val="0"/>
          <w:sz w:val="32"/>
          <w:szCs w:val="32"/>
          <w:lang w:val="en-US" w:eastAsia="zh-CN" w:bidi="ar-SA"/>
        </w:rPr>
        <w:t>八、交易服务费</w:t>
      </w:r>
    </w:p>
    <w:p w14:paraId="52562EE7">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公示阶段竞得人应按照巴音郭楞蒙古自治州发改委《关于库尔勒市土地交易中心服务费标准的批复》（巴发改价费〔2011〕168号）文件规定向巴州政务服务和公共资源交易中心缴纳国有建设用地使用权交易服务费。</w:t>
      </w:r>
    </w:p>
    <w:p w14:paraId="790556D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黑体"/>
          <w:b w:val="0"/>
          <w:bCs w:val="0"/>
          <w:color w:val="000000"/>
          <w:kern w:val="0"/>
          <w:sz w:val="32"/>
          <w:szCs w:val="32"/>
          <w:lang w:val="en-US" w:eastAsia="zh-CN" w:bidi="ar-SA"/>
        </w:rPr>
      </w:pPr>
      <w:r>
        <w:rPr>
          <w:rFonts w:hint="eastAsia" w:ascii="Times New Roman" w:hAnsi="Times New Roman" w:eastAsia="黑体" w:cs="黑体"/>
          <w:b w:val="0"/>
          <w:bCs w:val="0"/>
          <w:color w:val="000000"/>
          <w:kern w:val="0"/>
          <w:sz w:val="32"/>
          <w:szCs w:val="32"/>
          <w:lang w:val="en-US" w:eastAsia="zh-CN" w:bidi="ar-SA"/>
        </w:rPr>
        <w:t>九、其他事项</w:t>
      </w:r>
    </w:p>
    <w:p w14:paraId="17DDE73F">
      <w:pPr>
        <w:pStyle w:val="6"/>
        <w:keepNext w:val="0"/>
        <w:keepLines w:val="0"/>
        <w:pageBreakBefore w:val="0"/>
        <w:widowControl w:val="0"/>
        <w:kinsoku/>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挂牌出让成交价指该宗地国有建设用地使用权出让价款，其中不包含土地出让成本，不包含挂牌交易的价外税费、挂牌交易服务费等。</w:t>
      </w:r>
    </w:p>
    <w:p w14:paraId="5DAD1913">
      <w:pPr>
        <w:pStyle w:val="3"/>
        <w:spacing w:before="0" w:after="0" w:line="560" w:lineRule="exact"/>
        <w:ind w:firstLine="640" w:firstLineChars="200"/>
        <w:rPr>
          <w:rFonts w:hint="eastAsia" w:ascii="Times New Roman" w:hAnsi="Times New Roman"/>
          <w:b w:val="0"/>
          <w:bCs w:val="0"/>
          <w:color w:val="000000"/>
          <w:sz w:val="32"/>
          <w:szCs w:val="32"/>
          <w:lang w:eastAsia="zh-CN"/>
        </w:rPr>
      </w:pPr>
      <w:r>
        <w:rPr>
          <w:rFonts w:hint="eastAsia" w:ascii="Times New Roman" w:hAnsi="Times New Roman"/>
          <w:b w:val="0"/>
          <w:bCs w:val="0"/>
          <w:color w:val="000000"/>
          <w:sz w:val="32"/>
          <w:szCs w:val="32"/>
          <w:lang w:val="en-US" w:eastAsia="zh-CN"/>
        </w:rPr>
        <w:t>十</w:t>
      </w:r>
      <w:r>
        <w:rPr>
          <w:rFonts w:hint="eastAsia" w:ascii="Times New Roman" w:hAnsi="Times New Roman"/>
          <w:b w:val="0"/>
          <w:bCs w:val="0"/>
          <w:color w:val="000000"/>
          <w:sz w:val="32"/>
          <w:szCs w:val="32"/>
          <w:lang w:eastAsia="zh-CN"/>
        </w:rPr>
        <w:t>、违约责任</w:t>
      </w:r>
    </w:p>
    <w:p w14:paraId="73B85512">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有下列情形之一的，视为竞得人违约，竞买保证金不予退还，</w:t>
      </w:r>
      <w:r>
        <w:rPr>
          <w:rFonts w:hint="eastAsia" w:ascii="Times New Roman" w:hAnsi="Times New Roman" w:eastAsia="仿宋_GB2312" w:cs="Times New Roman"/>
          <w:color w:val="000000"/>
          <w:szCs w:val="32"/>
          <w:highlight w:val="none"/>
          <w:lang w:val="zh-CN" w:eastAsia="zh-CN"/>
        </w:rPr>
        <w:t>造成损失的，竞得人应当依法承担赔偿责任，</w:t>
      </w:r>
      <w:r>
        <w:rPr>
          <w:rFonts w:hint="eastAsia" w:ascii="Times New Roman" w:hAnsi="Times New Roman" w:eastAsia="仿宋_GB2312" w:cs="Times New Roman"/>
          <w:color w:val="000000"/>
          <w:szCs w:val="32"/>
          <w:highlight w:val="none"/>
          <w:lang w:val="en-US" w:eastAsia="zh-CN"/>
        </w:rPr>
        <w:t>并按照公告及合同约定承担相应的违约责任。</w:t>
      </w:r>
    </w:p>
    <w:p w14:paraId="5DD8C9B9">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en-US" w:eastAsia="zh-CN"/>
        </w:rPr>
        <w:t>（一）拒绝签订《成交确认书》的；</w:t>
      </w:r>
    </w:p>
    <w:p w14:paraId="7156B228">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zh-CN" w:eastAsia="zh-CN"/>
        </w:rPr>
        <w:t>（</w:t>
      </w:r>
      <w:r>
        <w:rPr>
          <w:rFonts w:hint="eastAsia" w:ascii="Times New Roman" w:hAnsi="Times New Roman"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zh-CN" w:eastAsia="zh-CN"/>
        </w:rPr>
        <w:t>）竞得人</w:t>
      </w:r>
      <w:r>
        <w:rPr>
          <w:rFonts w:hint="eastAsia" w:ascii="Times New Roman" w:hAnsi="Times New Roman" w:eastAsia="仿宋_GB2312" w:cs="Times New Roman"/>
          <w:color w:val="000000"/>
          <w:szCs w:val="32"/>
          <w:highlight w:val="none"/>
          <w:lang w:val="en-US" w:eastAsia="zh-CN"/>
        </w:rPr>
        <w:t>未</w:t>
      </w:r>
      <w:r>
        <w:rPr>
          <w:rFonts w:hint="eastAsia" w:ascii="Times New Roman" w:hAnsi="Times New Roman" w:eastAsia="仿宋_GB2312" w:cs="Times New Roman"/>
          <w:color w:val="000000"/>
          <w:szCs w:val="32"/>
          <w:highlight w:val="none"/>
          <w:lang w:val="zh-CN" w:eastAsia="zh-CN"/>
        </w:rPr>
        <w:t>在约定期限内持《成交确认书》与</w:t>
      </w:r>
      <w:r>
        <w:rPr>
          <w:rFonts w:hint="eastAsia" w:ascii="Times New Roman" w:hAnsi="Times New Roman" w:eastAsia="仿宋_GB2312" w:cs="Times New Roman"/>
          <w:color w:val="000000"/>
          <w:szCs w:val="32"/>
          <w:highlight w:val="none"/>
          <w:lang w:val="en-US" w:eastAsia="zh-CN"/>
        </w:rPr>
        <w:t>出让人</w:t>
      </w:r>
      <w:r>
        <w:rPr>
          <w:rFonts w:hint="eastAsia" w:ascii="Times New Roman" w:hAnsi="Times New Roman" w:eastAsia="仿宋_GB2312" w:cs="Times New Roman"/>
          <w:color w:val="000000"/>
          <w:szCs w:val="32"/>
          <w:highlight w:val="none"/>
          <w:lang w:val="zh-CN" w:eastAsia="zh-CN"/>
        </w:rPr>
        <w:t>签订《出让合同》；</w:t>
      </w:r>
    </w:p>
    <w:p w14:paraId="3FBFBBCA">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zh-CN" w:eastAsia="zh-CN"/>
        </w:rPr>
        <w:t>（</w:t>
      </w:r>
      <w:r>
        <w:rPr>
          <w:rFonts w:hint="eastAsia" w:ascii="Times New Roman" w:hAnsi="Times New Roman"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zh-CN" w:eastAsia="zh-CN"/>
        </w:rPr>
        <w:t>）未按规定缴纳出让收益的，竞得人未按约定的时间或拒绝付清交易服务费、</w:t>
      </w:r>
      <w:r>
        <w:rPr>
          <w:rFonts w:hint="eastAsia" w:eastAsia="仿宋_GB2312" w:cs="Times New Roman"/>
          <w:color w:val="000000"/>
          <w:szCs w:val="32"/>
          <w:highlight w:val="none"/>
          <w:lang w:val="en-US" w:eastAsia="zh-CN"/>
        </w:rPr>
        <w:t>国有建设用地使用权</w:t>
      </w:r>
      <w:r>
        <w:rPr>
          <w:rFonts w:hint="eastAsia" w:ascii="Times New Roman" w:hAnsi="Times New Roman" w:eastAsia="仿宋_GB2312" w:cs="Times New Roman"/>
          <w:color w:val="000000"/>
          <w:szCs w:val="32"/>
          <w:highlight w:val="none"/>
          <w:lang w:val="zh-CN" w:eastAsia="zh-CN"/>
        </w:rPr>
        <w:t>出让收益或者其他相关费用的；</w:t>
      </w:r>
    </w:p>
    <w:p w14:paraId="30F9A9DC">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zh-CN" w:eastAsia="zh-CN"/>
        </w:rPr>
        <w:t>提供虚假文件、资料以弄虚作假或行贿、恶意串通等非法手段竞得的</w:t>
      </w:r>
      <w:r>
        <w:rPr>
          <w:rFonts w:hint="eastAsia" w:ascii="Times New Roman" w:hAnsi="Times New Roman" w:eastAsia="仿宋_GB2312" w:cs="Times New Roman"/>
          <w:color w:val="000000"/>
          <w:szCs w:val="32"/>
          <w:highlight w:val="none"/>
          <w:lang w:val="en-US" w:eastAsia="zh-CN"/>
        </w:rPr>
        <w:t>；</w:t>
      </w:r>
    </w:p>
    <w:p w14:paraId="1CB92E9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（五）其他依法应当认定为违约行为的情形。</w:t>
      </w:r>
    </w:p>
    <w:p w14:paraId="295E42C0">
      <w:pPr>
        <w:pStyle w:val="6"/>
        <w:rPr>
          <w:rFonts w:hint="eastAsia"/>
          <w:lang w:val="en-US" w:eastAsia="zh-CN"/>
        </w:rPr>
      </w:pPr>
    </w:p>
    <w:p w14:paraId="42AB16EE">
      <w:pPr>
        <w:pageBreakBefore w:val="0"/>
        <w:kinsoku/>
        <w:wordWrap/>
        <w:overflowPunct/>
        <w:topLinePunct w:val="0"/>
        <w:autoSpaceDE/>
        <w:autoSpaceDN/>
        <w:bidi w:val="0"/>
        <w:snapToGrid/>
        <w:spacing w:line="560" w:lineRule="exact"/>
        <w:ind w:left="0" w:leftChars="0"/>
        <w:textAlignment w:val="auto"/>
        <w:rPr>
          <w:rFonts w:hint="eastAsia" w:ascii="仿宋_GB2312" w:hAnsi="仿宋_GB2312" w:eastAsia="仿宋_GB2312" w:cs="仿宋_GB2312"/>
          <w:color w:val="000000"/>
          <w:szCs w:val="32"/>
          <w:lang w:val="en-US" w:eastAsia="zh-CN"/>
        </w:rPr>
      </w:pPr>
      <w:bookmarkStart w:id="11" w:name="_Toc470767499"/>
      <w:bookmarkEnd w:id="11"/>
      <w:bookmarkStart w:id="12" w:name="_Toc37108519"/>
      <w:bookmarkEnd w:id="12"/>
    </w:p>
    <w:p w14:paraId="463123C4">
      <w:pPr>
        <w:pStyle w:val="6"/>
        <w:rPr>
          <w:rFonts w:hint="eastAsia"/>
        </w:rPr>
      </w:pPr>
      <w:bookmarkStart w:id="13" w:name="_Toc37108521"/>
      <w:bookmarkEnd w:id="13"/>
    </w:p>
    <w:p w14:paraId="3137571B">
      <w:pPr>
        <w:pStyle w:val="2"/>
        <w:numPr>
          <w:ilvl w:val="0"/>
          <w:numId w:val="0"/>
        </w:numPr>
        <w:spacing w:line="560" w:lineRule="exact"/>
        <w:jc w:val="center"/>
        <w:rPr>
          <w:rFonts w:ascii="Times New Roman" w:hAnsi="Times New Roman"/>
          <w:b/>
          <w:bCs/>
          <w:color w:val="000000"/>
          <w:sz w:val="36"/>
          <w:szCs w:val="36"/>
        </w:rPr>
      </w:pPr>
      <w:r>
        <w:rPr>
          <w:rFonts w:hint="eastAsia"/>
          <w:b/>
          <w:bCs/>
          <w:color w:val="000000"/>
          <w:sz w:val="36"/>
          <w:szCs w:val="36"/>
          <w:lang w:val="en-US" w:eastAsia="zh-CN"/>
        </w:rPr>
        <w:t xml:space="preserve">第二章 </w:t>
      </w:r>
      <w:r>
        <w:rPr>
          <w:rFonts w:ascii="Times New Roman" w:hAnsi="Times New Roman"/>
          <w:b/>
          <w:bCs/>
          <w:color w:val="000000"/>
          <w:sz w:val="36"/>
          <w:szCs w:val="36"/>
        </w:rPr>
        <w:t>挂牌</w:t>
      </w:r>
      <w:r>
        <w:rPr>
          <w:rFonts w:hint="eastAsia"/>
          <w:b/>
          <w:bCs/>
          <w:color w:val="000000"/>
          <w:sz w:val="36"/>
          <w:szCs w:val="36"/>
          <w:lang w:val="en-US" w:eastAsia="zh-CN"/>
        </w:rPr>
        <w:t>报</w:t>
      </w:r>
      <w:r>
        <w:rPr>
          <w:rFonts w:ascii="Times New Roman" w:hAnsi="Times New Roman"/>
          <w:b/>
          <w:bCs/>
          <w:color w:val="000000"/>
          <w:sz w:val="36"/>
          <w:szCs w:val="36"/>
        </w:rPr>
        <w:t>价</w:t>
      </w:r>
      <w:r>
        <w:rPr>
          <w:rFonts w:hint="eastAsia"/>
          <w:b/>
          <w:bCs/>
          <w:color w:val="000000"/>
          <w:sz w:val="36"/>
          <w:szCs w:val="36"/>
          <w:lang w:val="en-US" w:eastAsia="zh-CN"/>
        </w:rPr>
        <w:t>程序及</w:t>
      </w:r>
      <w:r>
        <w:rPr>
          <w:rFonts w:ascii="Times New Roman" w:hAnsi="Times New Roman"/>
          <w:b/>
          <w:bCs/>
          <w:color w:val="000000"/>
          <w:sz w:val="36"/>
          <w:szCs w:val="36"/>
        </w:rPr>
        <w:t>规则</w:t>
      </w:r>
    </w:p>
    <w:p w14:paraId="2DB67870">
      <w:pPr>
        <w:numPr>
          <w:ilvl w:val="0"/>
          <w:numId w:val="0"/>
        </w:numPr>
      </w:pPr>
    </w:p>
    <w:p w14:paraId="64F64CAD">
      <w:pPr>
        <w:spacing w:line="560" w:lineRule="exact"/>
        <w:ind w:firstLine="643"/>
        <w:rPr>
          <w:rFonts w:hint="eastAsia" w:ascii="黑体" w:hAnsi="黑体" w:eastAsia="黑体" w:cs="黑体"/>
          <w:b w:val="0"/>
          <w:bCs w:val="0"/>
          <w:color w:val="000000"/>
          <w:lang w:val="en-US" w:eastAsia="zh-CN"/>
        </w:rPr>
      </w:pPr>
      <w:bookmarkStart w:id="14" w:name="_Toc15544"/>
      <w:bookmarkEnd w:id="14"/>
      <w:bookmarkStart w:id="15" w:name="_Toc21196"/>
      <w:bookmarkEnd w:id="15"/>
      <w:bookmarkStart w:id="16" w:name="_Toc25914"/>
      <w:bookmarkEnd w:id="16"/>
      <w:r>
        <w:rPr>
          <w:rFonts w:hint="eastAsia" w:ascii="黑体" w:hAnsi="黑体" w:eastAsia="黑体" w:cs="黑体"/>
          <w:b w:val="0"/>
          <w:bCs w:val="0"/>
          <w:color w:val="000000"/>
          <w:lang w:val="en-US" w:eastAsia="zh-CN"/>
        </w:rPr>
        <w:t>一、挂牌报价程序</w:t>
      </w:r>
    </w:p>
    <w:p w14:paraId="5623FAE4">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lang w:val="en-US" w:eastAsia="zh-CN"/>
        </w:rPr>
        <w:t>竞买人在规定的挂牌时间内填写《挂牌竞买报价单》进行报价。</w:t>
      </w:r>
    </w:p>
    <w:p w14:paraId="27902F3B">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挂牌人收到《挂牌竞买报价单》后，按接收时间填写报价单提交时间，并对报价单予以审核，对符合要求的报价予以确认。</w:t>
      </w:r>
    </w:p>
    <w:p w14:paraId="18A828E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挂牌人确认该报价后，更新显示挂牌价格，继续接受新的报价。</w:t>
      </w:r>
    </w:p>
    <w:p w14:paraId="09D071F7">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在规定的挂牌时期内允许同一竞买人多次报价，但挂牌人不接受下列报价：</w:t>
      </w:r>
    </w:p>
    <w:p w14:paraId="20CD30B4">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lang w:val="en-US" w:eastAsia="zh-CN"/>
        </w:rPr>
        <w:t>报价低于底价的报价；</w:t>
      </w:r>
    </w:p>
    <w:p w14:paraId="601FFCA8">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lang w:val="en-US" w:eastAsia="zh-CN"/>
        </w:rPr>
        <w:t>低于当时有效最高报价的报价；</w:t>
      </w:r>
    </w:p>
    <w:p w14:paraId="73AE8387">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lang w:val="en-US" w:eastAsia="zh-CN"/>
        </w:rPr>
        <w:t>挂牌竞价期限截止后的任何报价；</w:t>
      </w:r>
    </w:p>
    <w:p w14:paraId="004659CA">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lang w:val="en-US" w:eastAsia="zh-CN"/>
        </w:rPr>
        <w:t>不符合增加幅度要求的报价。</w:t>
      </w:r>
    </w:p>
    <w:p w14:paraId="384C0837">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二、报价规则</w:t>
      </w:r>
    </w:p>
    <w:p w14:paraId="7C423B3F">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lang w:val="en-US" w:eastAsia="zh-CN"/>
        </w:rPr>
        <w:t>本次挂牌以价高者得为原则确定竞得人。</w:t>
      </w:r>
    </w:p>
    <w:p w14:paraId="43EA7D8C">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本次挂牌以增价方式（按增价幅度的倍数递增）进行报价，每次加价幅度不得小于公告规定的增价幅度。</w:t>
      </w:r>
    </w:p>
    <w:p w14:paraId="16BD9DAA">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竞买人以填写《挂牌竞买报价单》方式报价，《挂牌竞买报价单》一经报出，不得撤回。</w:t>
      </w:r>
    </w:p>
    <w:p w14:paraId="20BE004D">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有两个或两个以上竞买人报价相同的，确认先提交报价单者为该挂牌价格的出价人。</w:t>
      </w:r>
    </w:p>
    <w:p w14:paraId="6EE975C2">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三、挂牌会</w:t>
      </w:r>
    </w:p>
    <w:p w14:paraId="51E872C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lang w:val="en-US" w:eastAsia="zh-CN"/>
        </w:rPr>
        <w:t>202</w:t>
      </w: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lang w:val="en-US" w:eastAsia="zh-CN"/>
        </w:rPr>
        <w:t>年</w:t>
      </w:r>
      <w:r>
        <w:rPr>
          <w:rFonts w:hint="eastAsia" w:eastAsia="仿宋_GB2312" w:cs="Times New Roman"/>
          <w:color w:val="000000"/>
          <w:szCs w:val="32"/>
          <w:highlight w:val="none"/>
          <w:lang w:val="en-US" w:eastAsia="zh-CN"/>
        </w:rPr>
        <w:t>11</w:t>
      </w:r>
      <w:r>
        <w:rPr>
          <w:rFonts w:hint="eastAsia" w:ascii="Times New Roman" w:hAnsi="Times New Roman" w:eastAsia="仿宋_GB2312" w:cs="Times New Roman"/>
          <w:color w:val="000000"/>
          <w:szCs w:val="32"/>
          <w:highlight w:val="none"/>
          <w:lang w:val="en-US" w:eastAsia="zh-CN"/>
        </w:rPr>
        <w:t>月</w:t>
      </w:r>
      <w:r>
        <w:rPr>
          <w:rFonts w:hint="eastAsia" w:eastAsia="仿宋_GB2312" w:cs="Times New Roman"/>
          <w:color w:val="000000"/>
          <w:szCs w:val="32"/>
          <w:highlight w:val="none"/>
          <w:lang w:val="en-US" w:eastAsia="zh-CN"/>
        </w:rPr>
        <w:t>26</w:t>
      </w:r>
      <w:r>
        <w:rPr>
          <w:rFonts w:hint="eastAsia" w:ascii="Times New Roman" w:hAnsi="Times New Roman" w:eastAsia="仿宋_GB2312" w:cs="Times New Roman"/>
          <w:color w:val="000000"/>
          <w:szCs w:val="32"/>
          <w:highlight w:val="none"/>
          <w:lang w:val="en-US" w:eastAsia="zh-CN"/>
        </w:rPr>
        <w:t>日1</w:t>
      </w:r>
      <w:r>
        <w:rPr>
          <w:rFonts w:hint="eastAsia" w:eastAsia="仿宋_GB2312" w:cs="Times New Roman"/>
          <w:color w:val="000000"/>
          <w:szCs w:val="32"/>
          <w:highlight w:val="none"/>
          <w:lang w:val="en-US" w:eastAsia="zh-CN"/>
        </w:rPr>
        <w:t>6</w:t>
      </w:r>
      <w:bookmarkStart w:id="17" w:name="_GoBack"/>
      <w:bookmarkEnd w:id="17"/>
      <w:r>
        <w:rPr>
          <w:rFonts w:hint="eastAsia" w:ascii="Times New Roman" w:hAnsi="Times New Roman" w:eastAsia="仿宋_GB2312" w:cs="Times New Roman"/>
          <w:color w:val="000000"/>
          <w:szCs w:val="32"/>
          <w:highlight w:val="none"/>
          <w:lang w:val="en-US" w:eastAsia="zh-CN"/>
        </w:rPr>
        <w:t>时00分（北京时间）由挂牌主持人主持确认挂牌截止时间。</w:t>
      </w:r>
    </w:p>
    <w:p w14:paraId="787F91FF">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竞买人应当准时出席挂牌会。</w:t>
      </w:r>
    </w:p>
    <w:p w14:paraId="1A529177">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挂牌人将有关</w:t>
      </w:r>
      <w:r>
        <w:rPr>
          <w:rFonts w:hint="eastAsia" w:eastAsia="仿宋_GB2312" w:cs="Times New Roman"/>
          <w:color w:val="000000"/>
          <w:szCs w:val="32"/>
          <w:highlight w:val="none"/>
          <w:lang w:val="en-US" w:eastAsia="zh-CN"/>
        </w:rPr>
        <w:t>挂牌出让</w:t>
      </w:r>
      <w:r>
        <w:rPr>
          <w:rFonts w:hint="eastAsia" w:ascii="Times New Roman" w:hAnsi="Times New Roman" w:eastAsia="仿宋_GB2312" w:cs="Times New Roman"/>
          <w:color w:val="000000"/>
          <w:szCs w:val="32"/>
          <w:highlight w:val="none"/>
          <w:lang w:val="en-US" w:eastAsia="zh-CN"/>
        </w:rPr>
        <w:t>项目的名称、面积、出让年限、起始价、增价幅度等挂牌公布。</w:t>
      </w:r>
    </w:p>
    <w:p w14:paraId="0D24AFC8">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挂牌主持人现场宣读挂牌会现场纪律、风险提示、</w:t>
      </w:r>
      <w:r>
        <w:rPr>
          <w:rFonts w:hint="eastAsia" w:eastAsia="仿宋_GB2312" w:cs="Times New Roman"/>
          <w:color w:val="000000"/>
          <w:szCs w:val="32"/>
          <w:highlight w:val="none"/>
          <w:lang w:val="en-US" w:eastAsia="zh-CN"/>
        </w:rPr>
        <w:t>注意事项</w:t>
      </w:r>
      <w:r>
        <w:rPr>
          <w:rFonts w:hint="eastAsia" w:ascii="Times New Roman" w:hAnsi="Times New Roman" w:eastAsia="仿宋_GB2312" w:cs="Times New Roman"/>
          <w:color w:val="000000"/>
          <w:szCs w:val="32"/>
          <w:highlight w:val="none"/>
          <w:lang w:val="en-US" w:eastAsia="zh-CN"/>
        </w:rPr>
        <w:t>、现场竞价须知等规则。</w:t>
      </w:r>
    </w:p>
    <w:p w14:paraId="0963BE25">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（五）</w:t>
      </w:r>
      <w:r>
        <w:rPr>
          <w:rFonts w:hint="eastAsia" w:ascii="Times New Roman" w:hAnsi="Times New Roman" w:eastAsia="仿宋_GB2312" w:cs="Times New Roman"/>
          <w:color w:val="000000"/>
          <w:szCs w:val="32"/>
          <w:highlight w:val="none"/>
          <w:lang w:val="en-US" w:eastAsia="zh-CN"/>
        </w:rPr>
        <w:t>挂牌主持人宣布最高报价及其报价者，并询问竞买人是否愿意继续竞价。</w:t>
      </w:r>
    </w:p>
    <w:p w14:paraId="5913D24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（六）</w:t>
      </w:r>
      <w:r>
        <w:rPr>
          <w:rFonts w:hint="eastAsia" w:ascii="Times New Roman" w:hAnsi="Times New Roman" w:eastAsia="仿宋_GB2312" w:cs="Times New Roman"/>
          <w:color w:val="000000"/>
          <w:szCs w:val="32"/>
          <w:highlight w:val="none"/>
          <w:lang w:val="en-US" w:eastAsia="zh-CN"/>
        </w:rPr>
        <w:t>有竞买人表示愿意继续竞价的，即属于挂牌截止时有两个或两个以上竞买人要求报价的情形，挂牌主持人应当宣布</w:t>
      </w:r>
      <w:r>
        <w:rPr>
          <w:rFonts w:hint="eastAsia" w:eastAsia="仿宋_GB2312" w:cs="Times New Roman"/>
          <w:color w:val="000000"/>
          <w:szCs w:val="32"/>
          <w:highlight w:val="none"/>
          <w:lang w:val="en-US" w:eastAsia="zh-CN"/>
        </w:rPr>
        <w:t>挂牌出让</w:t>
      </w:r>
      <w:r>
        <w:rPr>
          <w:rFonts w:hint="eastAsia" w:ascii="Times New Roman" w:hAnsi="Times New Roman" w:eastAsia="仿宋_GB2312" w:cs="Times New Roman"/>
          <w:color w:val="000000"/>
          <w:szCs w:val="32"/>
          <w:highlight w:val="none"/>
          <w:lang w:val="en-US" w:eastAsia="zh-CN"/>
        </w:rPr>
        <w:t>转入现场竞价，通过现场竞价确定竞得人。</w:t>
      </w:r>
    </w:p>
    <w:p w14:paraId="2B1F1D7C">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（七）在挂牌期限内只有一个竞买人报价，且报价不低于底价，并符合其他条件的，挂牌成交。</w:t>
      </w:r>
    </w:p>
    <w:p w14:paraId="745B292E">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四、现场竞价</w:t>
      </w:r>
    </w:p>
    <w:p w14:paraId="7C89FECB">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现场竞价由挂牌主持人或拍卖师主持，现场竞价分为填写报价单和举牌竞价两种方式。挂牌主持人在挂牌会宣布现场竞价方式。</w:t>
      </w:r>
    </w:p>
    <w:p w14:paraId="4DBDB06B">
      <w:pPr>
        <w:spacing w:line="560" w:lineRule="exact"/>
        <w:ind w:firstLine="643" w:firstLineChars="200"/>
        <w:rPr>
          <w:rFonts w:hint="eastAsia" w:ascii="仿宋" w:hAnsi="仿宋" w:eastAsia="仿宋" w:cs="仿宋"/>
          <w:sz w:val="32"/>
          <w:szCs w:val="32"/>
        </w:rPr>
      </w:pPr>
      <w:r>
        <w:rPr>
          <w:rFonts w:hint="eastAsia" w:ascii="仿宋" w:hAnsi="仿宋" w:cs="仿宋"/>
          <w:b/>
          <w:bCs/>
          <w:sz w:val="32"/>
          <w:szCs w:val="32"/>
          <w:lang w:val="en-US" w:eastAsia="zh-CN"/>
        </w:rPr>
        <w:t>（一）</w:t>
      </w:r>
      <w:r>
        <w:rPr>
          <w:rFonts w:hint="eastAsia" w:ascii="仿宋" w:hAnsi="仿宋" w:eastAsia="仿宋" w:cs="仿宋"/>
          <w:b/>
          <w:bCs/>
          <w:sz w:val="32"/>
          <w:szCs w:val="32"/>
        </w:rPr>
        <w:t>填写报价单程序与规则</w:t>
      </w:r>
    </w:p>
    <w:p w14:paraId="5C89B711">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1、</w:t>
      </w:r>
      <w:r>
        <w:rPr>
          <w:rFonts w:hint="eastAsia" w:ascii="Times New Roman" w:hAnsi="Times New Roman" w:eastAsia="仿宋_GB2312" w:cs="Times New Roman"/>
          <w:color w:val="000000"/>
          <w:kern w:val="2"/>
          <w:sz w:val="32"/>
          <w:szCs w:val="32"/>
          <w:highlight w:val="none"/>
          <w:lang w:val="en-US" w:eastAsia="zh-CN" w:bidi="ar-SA"/>
        </w:rPr>
        <w:t>竞买人须服从挂牌主持人的裁判。</w:t>
      </w:r>
    </w:p>
    <w:p w14:paraId="04B0E8F7">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2、</w:t>
      </w:r>
      <w:r>
        <w:rPr>
          <w:rFonts w:hint="eastAsia" w:ascii="Times New Roman" w:hAnsi="Times New Roman" w:eastAsia="仿宋_GB2312" w:cs="Times New Roman"/>
          <w:color w:val="000000"/>
          <w:kern w:val="2"/>
          <w:sz w:val="32"/>
          <w:szCs w:val="32"/>
          <w:highlight w:val="none"/>
          <w:lang w:val="en-US" w:eastAsia="zh-CN" w:bidi="ar-SA"/>
        </w:rPr>
        <w:t>竞买人以填写报价单的方式进行报价，竞买人报价时应当仔细、慎重，一旦提交后即具法律效力，不可修改或撤回，任何失误报价的理由挂牌人均不予接受。</w:t>
      </w:r>
    </w:p>
    <w:p w14:paraId="2CA01D67">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3、</w:t>
      </w:r>
      <w:r>
        <w:rPr>
          <w:rFonts w:hint="eastAsia" w:ascii="Times New Roman" w:hAnsi="Times New Roman" w:eastAsia="仿宋_GB2312" w:cs="Times New Roman"/>
          <w:color w:val="000000"/>
          <w:kern w:val="2"/>
          <w:sz w:val="32"/>
          <w:szCs w:val="32"/>
          <w:highlight w:val="none"/>
          <w:lang w:val="en-US" w:eastAsia="zh-CN" w:bidi="ar-SA"/>
        </w:rPr>
        <w:t>竞买人当场填写《竞买报价单》，可以按增价幅度的倍数递增或按自己的心理价位填写报价，由竞买人签署确认，报价单由授权代理人签署的，须同时附上授权委托书原件及代理人身份证复印件；授权委托书应当列明具体委托事项、委托权限和委托期限。</w:t>
      </w:r>
    </w:p>
    <w:p w14:paraId="2816B5BF">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kern w:val="2"/>
          <w:sz w:val="32"/>
          <w:szCs w:val="32"/>
          <w:highlight w:val="none"/>
          <w:lang w:val="en-US" w:eastAsia="zh-CN" w:bidi="ar-SA"/>
        </w:rPr>
        <w:t>竞价报价必须高于此前的有效报价，低于此前的报价为无效报价，但此前的有效报价仍有效，仍然具有约束力。</w:t>
      </w:r>
    </w:p>
    <w:p w14:paraId="23D575EC">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5、</w:t>
      </w:r>
      <w:r>
        <w:rPr>
          <w:rFonts w:hint="eastAsia" w:ascii="Times New Roman" w:hAnsi="Times New Roman" w:eastAsia="仿宋_GB2312" w:cs="Times New Roman"/>
          <w:color w:val="000000"/>
          <w:kern w:val="2"/>
          <w:sz w:val="32"/>
          <w:szCs w:val="32"/>
          <w:highlight w:val="none"/>
          <w:lang w:val="en-US" w:eastAsia="zh-CN" w:bidi="ar-SA"/>
        </w:rPr>
        <w:t>在规定的时间提交的《竞买报价单》，并经挂牌人及监督人员核定该《竞买报价单》的有效性。如出现大小写不一致时，以大写为准。</w:t>
      </w:r>
    </w:p>
    <w:p w14:paraId="170E66B6">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6、</w:t>
      </w:r>
      <w:r>
        <w:rPr>
          <w:rFonts w:hint="eastAsia" w:ascii="Times New Roman" w:hAnsi="Times New Roman" w:eastAsia="仿宋_GB2312" w:cs="Times New Roman"/>
          <w:color w:val="000000"/>
          <w:kern w:val="2"/>
          <w:sz w:val="32"/>
          <w:szCs w:val="32"/>
          <w:highlight w:val="none"/>
          <w:lang w:val="en-US" w:eastAsia="zh-CN" w:bidi="ar-SA"/>
        </w:rPr>
        <w:t>由挂牌主持人当场宣读《竞买报价单》报价结果，最高报价者即为竞得人。如出现同一最高报价的，由报价相同的竟买人再次书面报价，以报价最高者作为竞得人。</w:t>
      </w:r>
    </w:p>
    <w:p w14:paraId="5340E0EC">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7、如竞买人不想报价，则应在《竞买报价单》上填写“弃权”字样，并失去竞价资格，但此前的有效报价仍有效，仍然具有约束力。</w:t>
      </w:r>
    </w:p>
    <w:p w14:paraId="6F4F3DDE">
      <w:pPr>
        <w:spacing w:line="560" w:lineRule="exact"/>
        <w:ind w:firstLine="643" w:firstLineChars="200"/>
        <w:rPr>
          <w:rFonts w:hint="eastAsia" w:ascii="仿宋" w:hAnsi="仿宋" w:eastAsia="仿宋" w:cs="仿宋"/>
          <w:b/>
          <w:bCs/>
          <w:sz w:val="32"/>
          <w:szCs w:val="32"/>
        </w:rPr>
      </w:pPr>
      <w:r>
        <w:rPr>
          <w:rFonts w:hint="eastAsia" w:ascii="仿宋" w:hAnsi="仿宋" w:cs="仿宋"/>
          <w:b/>
          <w:bCs/>
          <w:sz w:val="32"/>
          <w:szCs w:val="32"/>
          <w:lang w:val="en-US" w:eastAsia="zh-CN"/>
        </w:rPr>
        <w:t>（二）</w:t>
      </w:r>
      <w:r>
        <w:rPr>
          <w:rFonts w:hint="eastAsia" w:ascii="仿宋" w:hAnsi="仿宋" w:eastAsia="仿宋" w:cs="仿宋"/>
          <w:b/>
          <w:bCs/>
          <w:sz w:val="32"/>
          <w:szCs w:val="32"/>
        </w:rPr>
        <w:t>举牌竞价程序与规则</w:t>
      </w:r>
    </w:p>
    <w:p w14:paraId="366D1208">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1、竞买人当场领取号牌，未领取号牌的，视为放弃</w:t>
      </w:r>
      <w:r>
        <w:rPr>
          <w:rFonts w:hint="eastAsia" w:eastAsia="仿宋_GB2312" w:cs="Times New Roman"/>
          <w:color w:val="000000"/>
          <w:kern w:val="2"/>
          <w:sz w:val="32"/>
          <w:szCs w:val="32"/>
          <w:highlight w:val="none"/>
          <w:lang w:val="en-US" w:eastAsia="zh-CN" w:bidi="ar-SA"/>
        </w:rPr>
        <w:t>举牌</w:t>
      </w:r>
      <w:r>
        <w:rPr>
          <w:rFonts w:hint="eastAsia" w:ascii="Times New Roman" w:hAnsi="Times New Roman" w:eastAsia="仿宋_GB2312" w:cs="Times New Roman"/>
          <w:color w:val="000000"/>
          <w:kern w:val="2"/>
          <w:sz w:val="32"/>
          <w:szCs w:val="32"/>
          <w:highlight w:val="none"/>
          <w:lang w:val="en-US" w:eastAsia="zh-CN" w:bidi="ar-SA"/>
        </w:rPr>
        <w:t>竞价的权利。</w:t>
      </w:r>
    </w:p>
    <w:p w14:paraId="59124F08">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w:t>
      </w:r>
      <w:r>
        <w:rPr>
          <w:rFonts w:hint="eastAsia" w:eastAsia="仿宋_GB2312" w:cs="Times New Roman"/>
          <w:color w:val="000000"/>
          <w:kern w:val="2"/>
          <w:sz w:val="32"/>
          <w:szCs w:val="32"/>
          <w:highlight w:val="none"/>
          <w:lang w:val="en-US" w:eastAsia="zh-CN" w:bidi="ar-SA"/>
        </w:rPr>
        <w:t>举牌竞价由拍卖师主持。拍卖师</w:t>
      </w:r>
      <w:r>
        <w:rPr>
          <w:rFonts w:hint="eastAsia" w:ascii="Times New Roman" w:hAnsi="Times New Roman" w:eastAsia="仿宋_GB2312" w:cs="Times New Roman"/>
          <w:color w:val="000000"/>
          <w:kern w:val="2"/>
          <w:sz w:val="32"/>
          <w:szCs w:val="32"/>
          <w:highlight w:val="none"/>
          <w:lang w:val="en-US" w:eastAsia="zh-CN" w:bidi="ar-SA"/>
        </w:rPr>
        <w:t>宣布现场竞价的起始价、竞价规则和增价幅度并宣布竞价开始。</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有权依照现场竞价情况自主调整增价幅度，现场竞价的起始价为挂牌竞价期限截止时的有效最高报价。</w:t>
      </w:r>
    </w:p>
    <w:p w14:paraId="3A68DDE5">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3、先由</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报出起始价和增价幅度，然后由竞买人举牌应价，竞买人只举号牌不</w:t>
      </w:r>
      <w:r>
        <w:rPr>
          <w:rFonts w:hint="eastAsia" w:eastAsia="仿宋_GB2312" w:cs="Times New Roman"/>
          <w:color w:val="000000"/>
          <w:kern w:val="2"/>
          <w:sz w:val="32"/>
          <w:szCs w:val="32"/>
          <w:highlight w:val="none"/>
          <w:lang w:val="en-US" w:eastAsia="zh-CN" w:bidi="ar-SA"/>
        </w:rPr>
        <w:t>叫价</w:t>
      </w:r>
      <w:r>
        <w:rPr>
          <w:rFonts w:hint="eastAsia" w:ascii="Times New Roman" w:hAnsi="Times New Roman" w:eastAsia="仿宋_GB2312" w:cs="Times New Roman"/>
          <w:color w:val="000000"/>
          <w:kern w:val="2"/>
          <w:sz w:val="32"/>
          <w:szCs w:val="32"/>
          <w:highlight w:val="none"/>
          <w:lang w:val="en-US" w:eastAsia="zh-CN" w:bidi="ar-SA"/>
        </w:rPr>
        <w:t>，即表示按照一个加价幅度应价。如有两个竞买人同时应价，以</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当场点号为准，竞买人手举号牌应价须高出头部方为有效。</w:t>
      </w:r>
    </w:p>
    <w:p w14:paraId="40EFA214">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4、</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连续三次宣布同一应价或报价而没有人再应价或报价的，</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宣布最高应价或报价者为竞得人。</w:t>
      </w:r>
    </w:p>
    <w:p w14:paraId="1DADB175">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5、竞买人没有举号牌或以其他方式应价无效，也不得拿自制的号牌应价，号牌不得转让他人使用，竞价结束后将号牌交回工作人员处。</w:t>
      </w:r>
    </w:p>
    <w:p w14:paraId="101EC8DE">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6、竞买人一经应价不得撤回，但有更高应价时，其应价即失去约束力。</w:t>
      </w:r>
    </w:p>
    <w:p w14:paraId="0FAD2620">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p>
    <w:p w14:paraId="78501F43">
      <w:pPr>
        <w:pStyle w:val="6"/>
        <w:rPr>
          <w:rFonts w:hint="default" w:ascii="Times New Roman" w:hAnsi="Times New Roman" w:eastAsia="仿宋_GB2312" w:cs="Times New Roman"/>
          <w:color w:val="000000"/>
          <w:kern w:val="2"/>
          <w:sz w:val="32"/>
          <w:szCs w:val="32"/>
          <w:highlight w:val="none"/>
          <w:lang w:val="en-US" w:eastAsia="zh-CN" w:bidi="ar-SA"/>
        </w:rPr>
      </w:pPr>
    </w:p>
    <w:p w14:paraId="18C96070">
      <w:pPr>
        <w:pStyle w:val="2"/>
        <w:numPr>
          <w:ilvl w:val="0"/>
          <w:numId w:val="0"/>
        </w:numPr>
        <w:spacing w:line="560" w:lineRule="exact"/>
        <w:rPr>
          <w:rFonts w:hint="eastAsia"/>
        </w:rPr>
      </w:pPr>
      <w:r>
        <w:rPr>
          <w:rFonts w:hint="eastAsia"/>
          <w:b/>
          <w:bCs/>
          <w:color w:val="000000"/>
          <w:sz w:val="36"/>
          <w:szCs w:val="36"/>
          <w:lang w:val="en-US" w:eastAsia="zh-CN"/>
        </w:rPr>
        <w:t xml:space="preserve">第三章 </w:t>
      </w:r>
      <w:r>
        <w:rPr>
          <w:rFonts w:hint="eastAsia"/>
          <w:b/>
          <w:bCs/>
          <w:color w:val="000000"/>
          <w:sz w:val="36"/>
          <w:szCs w:val="36"/>
        </w:rPr>
        <w:t>其他材料</w:t>
      </w:r>
    </w:p>
    <w:p w14:paraId="7E4749A6">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1.竞买申请书(见附件）</w:t>
      </w:r>
    </w:p>
    <w:p w14:paraId="32D7BDE2">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2.竞买登记表（见附件）</w:t>
      </w:r>
    </w:p>
    <w:p w14:paraId="03876224">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3.法定代表人身份证明（见附件）</w:t>
      </w:r>
    </w:p>
    <w:p w14:paraId="0CDF2A9C">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4.法人授权委托书（见附件）</w:t>
      </w:r>
    </w:p>
    <w:p w14:paraId="5891A0E2">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5.保证金承诺书（见附件）</w:t>
      </w:r>
    </w:p>
    <w:p w14:paraId="010C3165">
      <w:pPr>
        <w:rPr>
          <w:rFonts w:hint="eastAsia"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6.竞买报价单（见附件）</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2000000000000"/>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580D38"/>
    <w:multiLevelType w:val="singleLevel"/>
    <w:tmpl w:val="97580D3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0ZGI1MzllYThkNDhhZmIzMDM4MGUxNzc5YTE1MWEifQ=="/>
  </w:docVars>
  <w:rsids>
    <w:rsidRoot w:val="0E382D68"/>
    <w:rsid w:val="05E51C0A"/>
    <w:rsid w:val="0E382D68"/>
    <w:rsid w:val="149858DC"/>
    <w:rsid w:val="1AA51C74"/>
    <w:rsid w:val="26E368D5"/>
    <w:rsid w:val="2A9778C2"/>
    <w:rsid w:val="2CA2753C"/>
    <w:rsid w:val="2EEC6DC9"/>
    <w:rsid w:val="328A3932"/>
    <w:rsid w:val="38BE1687"/>
    <w:rsid w:val="3C6E1394"/>
    <w:rsid w:val="3C83107F"/>
    <w:rsid w:val="3EB807A0"/>
    <w:rsid w:val="44227546"/>
    <w:rsid w:val="47B82C91"/>
    <w:rsid w:val="49D666C9"/>
    <w:rsid w:val="4EAF6D56"/>
    <w:rsid w:val="4FCC7720"/>
    <w:rsid w:val="585C2DFF"/>
    <w:rsid w:val="6A370D5B"/>
    <w:rsid w:val="6BF33CE2"/>
    <w:rsid w:val="6E506CE0"/>
    <w:rsid w:val="717A2857"/>
    <w:rsid w:val="73493373"/>
    <w:rsid w:val="74E67C81"/>
    <w:rsid w:val="788D5F9A"/>
    <w:rsid w:val="7D7B0EE3"/>
    <w:rsid w:val="7E111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40" w:firstLineChars="200"/>
      <w:jc w:val="both"/>
    </w:pPr>
    <w:rPr>
      <w:rFonts w:ascii="Times New Roman" w:hAnsi="Times New Roman" w:eastAsia="仿宋" w:cs="黑体"/>
      <w:kern w:val="2"/>
      <w:sz w:val="32"/>
      <w:szCs w:val="24"/>
      <w:lang w:val="en-US" w:eastAsia="zh-CN" w:bidi="ar-SA"/>
    </w:rPr>
  </w:style>
  <w:style w:type="paragraph" w:styleId="2">
    <w:name w:val="heading 1"/>
    <w:basedOn w:val="1"/>
    <w:next w:val="1"/>
    <w:qFormat/>
    <w:uiPriority w:val="9"/>
    <w:pPr>
      <w:keepNext/>
      <w:keepLines/>
      <w:spacing w:before="240" w:after="240"/>
      <w:ind w:firstLine="723"/>
      <w:jc w:val="center"/>
      <w:outlineLvl w:val="0"/>
    </w:pPr>
    <w:rPr>
      <w:rFonts w:eastAsia="黑体"/>
      <w:b/>
      <w:bCs/>
      <w:kern w:val="44"/>
      <w:sz w:val="36"/>
      <w:szCs w:val="36"/>
    </w:rPr>
  </w:style>
  <w:style w:type="paragraph" w:styleId="3">
    <w:name w:val="heading 2"/>
    <w:basedOn w:val="1"/>
    <w:next w:val="1"/>
    <w:qFormat/>
    <w:uiPriority w:val="9"/>
    <w:pPr>
      <w:keepNext/>
      <w:keepLines/>
      <w:widowControl/>
      <w:spacing w:before="120" w:after="120"/>
      <w:ind w:firstLine="0" w:firstLineChars="0"/>
      <w:jc w:val="left"/>
      <w:outlineLvl w:val="1"/>
    </w:pPr>
    <w:rPr>
      <w:rFonts w:ascii="Arial" w:hAnsi="Arial" w:eastAsia="黑体"/>
      <w:b/>
      <w:bCs/>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4231</Words>
  <Characters>4410</Characters>
  <Lines>0</Lines>
  <Paragraphs>0</Paragraphs>
  <TotalTime>30</TotalTime>
  <ScaleCrop>false</ScaleCrop>
  <LinksUpToDate>false</LinksUpToDate>
  <CharactersWithSpaces>4427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2024-03-28T10:27:00Z</dcterms:created>
  <dc:creator>月</dc:creator>
  <cp:lastModifiedBy>月</cp:lastModifiedBy>
  <dcterms:modified xsi:type="dcterms:W3CDTF">2024-10-28T11:41:27Z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8AFD6DA117DF444E8C04F63010189347_11</vt:lpwstr>
  </property>
</Properties>
</file>